
<file path=[Content_Types].xml><?xml version="1.0" encoding="utf-8"?>
<Types xmlns="http://schemas.openxmlformats.org/package/2006/content-types">
  <Default Extension="xml" ContentType="application/xml"/>
  <Default Extension="png" ContentType="image/png"/>
  <Default Extension="gif" ContentType="image/gi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5EF0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D02AAD">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9FAA15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71.100.70</w:t>
            </w:r>
            <w:r>
              <w:rPr>
                <w:rFonts w:ascii="黑体" w:hAnsi="黑体" w:eastAsia="黑体"/>
                <w:sz w:val="21"/>
                <w:szCs w:val="21"/>
              </w:rPr>
              <w:fldChar w:fldCharType="end"/>
            </w:r>
            <w:bookmarkEnd w:id="0"/>
          </w:p>
        </w:tc>
      </w:tr>
      <w:tr w14:paraId="22272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951D6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673EB8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3F04319">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CC3C68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Y 42</w:t>
            </w:r>
            <w:r>
              <w:rPr>
                <w:rFonts w:ascii="黑体" w:hAnsi="黑体" w:eastAsia="黑体"/>
                <w:sz w:val="21"/>
                <w:szCs w:val="21"/>
              </w:rPr>
              <w:fldChar w:fldCharType="end"/>
            </w:r>
            <w:bookmarkEnd w:id="2"/>
          </w:p>
        </w:tc>
      </w:tr>
    </w:tbl>
    <w:p w14:paraId="284AFDC1">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BBAD85D">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2025</w:t>
      </w:r>
      <w:r>
        <w:fldChar w:fldCharType="end"/>
      </w:r>
      <w:bookmarkEnd w:id="6"/>
    </w:p>
    <w:p w14:paraId="337414BF">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F3E7108">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A83FBF5">
      <w:pPr>
        <w:pStyle w:val="50"/>
        <w:framePr w:w="9639" w:h="6976" w:hRule="exact" w:hSpace="0" w:vSpace="0" w:wrap="around" w:hAnchor="page" w:y="6408"/>
        <w:jc w:val="center"/>
        <w:rPr>
          <w:rFonts w:ascii="黑体" w:hAnsi="黑体" w:eastAsia="黑体"/>
          <w:b w:val="0"/>
          <w:bCs w:val="0"/>
          <w:w w:val="100"/>
        </w:rPr>
      </w:pPr>
    </w:p>
    <w:p w14:paraId="0A4AF4E3">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化妆品用原料  金花茶提取物</w:t>
      </w:r>
      <w:r>
        <w:fldChar w:fldCharType="end"/>
      </w:r>
      <w:bookmarkEnd w:id="8"/>
    </w:p>
    <w:p w14:paraId="3D6FAF08">
      <w:pPr>
        <w:framePr w:w="9639" w:h="6974" w:hRule="exact" w:wrap="around" w:vAnchor="page" w:hAnchor="page" w:x="1419" w:y="6408" w:anchorLock="1"/>
        <w:ind w:left="-1418"/>
      </w:pPr>
    </w:p>
    <w:p w14:paraId="3A759203">
      <w:pPr>
        <w:pStyle w:val="125"/>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fldChar w:fldCharType="begin">
          <w:ffData>
            <w:name w:val="ESTD_NAME"/>
            <w:enabled/>
            <w:calcOnExit w:val="0"/>
            <w:textInput>
              <w:default w:val="Cosmetic ingredients-Camellia nitidissima extract"/>
            </w:textInput>
          </w:ffData>
        </w:fldChar>
      </w:r>
      <w:bookmarkStart w:id="9" w:name="ESTD_NAME"/>
      <w:r>
        <w:rPr>
          <w:rFonts w:hint="eastAsia" w:ascii="黑体" w:hAnsi="黑体" w:eastAsia="黑体"/>
          <w:szCs w:val="28"/>
        </w:rPr>
        <w:instrText xml:space="preserve"> </w:instrText>
      </w:r>
      <w:r>
        <w:rPr>
          <w:rFonts w:ascii="黑体" w:hAnsi="黑体" w:eastAsia="黑体"/>
          <w:szCs w:val="28"/>
        </w:rPr>
        <w:instrText xml:space="preserve">FORMTEXT</w:instrText>
      </w:r>
      <w:r>
        <w:rPr>
          <w:rFonts w:hint="eastAsia" w:ascii="黑体" w:hAnsi="黑体" w:eastAsia="黑体"/>
          <w:szCs w:val="28"/>
        </w:rPr>
        <w:instrText xml:space="preserve"> </w:instrText>
      </w:r>
      <w:r>
        <w:rPr>
          <w:rFonts w:hint="eastAsia" w:ascii="黑体" w:hAnsi="黑体" w:eastAsia="黑体"/>
          <w:szCs w:val="28"/>
        </w:rPr>
        <w:fldChar w:fldCharType="separate"/>
      </w:r>
      <w:r>
        <w:rPr>
          <w:rFonts w:hint="eastAsia" w:ascii="黑体" w:hAnsi="黑体" w:eastAsia="黑体"/>
          <w:szCs w:val="28"/>
        </w:rPr>
        <w:t xml:space="preserve">Cosmetic ingredients — </w:t>
      </w:r>
      <w:r>
        <w:rPr>
          <w:rFonts w:ascii="黑体" w:hAnsi="黑体" w:eastAsia="黑体"/>
          <w:i/>
          <w:szCs w:val="28"/>
        </w:rPr>
        <w:t>Camellia petelotii</w:t>
      </w:r>
      <w:r>
        <w:rPr>
          <w:rFonts w:hint="eastAsia" w:ascii="黑体" w:hAnsi="黑体" w:eastAsia="黑体"/>
          <w:i/>
          <w:szCs w:val="28"/>
        </w:rPr>
        <w:t xml:space="preserve"> </w:t>
      </w:r>
      <w:r>
        <w:rPr>
          <w:rFonts w:hint="eastAsia" w:ascii="黑体" w:hAnsi="黑体" w:eastAsia="黑体"/>
          <w:szCs w:val="28"/>
        </w:rPr>
        <w:t>extract</w:t>
      </w:r>
      <w:r>
        <w:rPr>
          <w:rFonts w:hint="eastAsia" w:ascii="黑体" w:hAnsi="黑体" w:eastAsia="黑体"/>
          <w:szCs w:val="28"/>
        </w:rPr>
        <w:fldChar w:fldCharType="end"/>
      </w:r>
      <w:bookmarkEnd w:id="9"/>
    </w:p>
    <w:p w14:paraId="2DD9FF37">
      <w:pPr>
        <w:framePr w:w="9639" w:h="6974" w:hRule="exact" w:wrap="around" w:vAnchor="page" w:hAnchor="page" w:x="1419" w:y="6408" w:anchorLock="1"/>
        <w:spacing w:line="760" w:lineRule="exact"/>
        <w:ind w:left="-1418"/>
      </w:pPr>
    </w:p>
    <w:p w14:paraId="6A2D809B">
      <w:pPr>
        <w:pStyle w:val="125"/>
        <w:framePr w:w="9639" w:h="6974" w:hRule="exact" w:wrap="around" w:vAnchor="page" w:hAnchor="page" w:x="1419" w:y="6408" w:anchorLock="1"/>
        <w:textAlignment w:val="bottom"/>
        <w:rPr>
          <w:rFonts w:eastAsia="黑体"/>
          <w:szCs w:val="28"/>
        </w:rPr>
      </w:pPr>
    </w:p>
    <w:p w14:paraId="42380EB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2EF130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DC62209">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5753443">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6D1BBDF3">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3422AE27">
      <w:pPr>
        <w:pStyle w:val="151"/>
        <w:framePr w:h="584" w:hRule="exact" w:hSpace="181" w:vSpace="181" w:wrap="around" w:y="14800"/>
        <w:rPr>
          <w:rFonts w:hint="eastAsia" w:hAnsi="黑体"/>
          <w:w w:val="100"/>
          <w:sz w:val="28"/>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p>
    <w:p w14:paraId="349952E2">
      <w:pPr>
        <w:pStyle w:val="151"/>
        <w:framePr w:h="584" w:hRule="exact" w:hSpace="181" w:vSpace="181" w:wrap="around" w:y="14800"/>
        <w:rPr>
          <w:rFonts w:hAnsi="黑体"/>
        </w:rPr>
      </w:pPr>
      <w:r>
        <w:rPr>
          <w:rFonts w:hint="eastAsia" w:hAnsi="黑体"/>
          <w:w w:val="100"/>
          <w:sz w:val="28"/>
          <w:lang w:val="en-US" w:eastAsia="zh-CN"/>
        </w:rPr>
        <w:t xml:space="preserve">         </w:t>
      </w:r>
      <w:r>
        <w:rPr>
          <w:rFonts w:hint="eastAsia" w:hAnsi="黑体"/>
          <w:w w:val="100"/>
          <w:sz w:val="28"/>
          <w:lang w:eastAsia="zh-CN"/>
        </w:rPr>
        <w:t>广西化妆品协会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9DF0FA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74ADFA15">
      <w:pPr>
        <w:pStyle w:val="89"/>
        <w:spacing w:before="560" w:after="360"/>
      </w:pPr>
      <w:bookmarkStart w:id="20" w:name="BookMark2"/>
      <w:r>
        <w:rPr>
          <w:rFonts w:hint="eastAsia"/>
          <w:spacing w:val="320"/>
        </w:rPr>
        <w:t>前</w:t>
      </w:r>
      <w:r>
        <w:rPr>
          <w:rFonts w:hint="eastAsia"/>
        </w:rPr>
        <w:t>言</w:t>
      </w:r>
    </w:p>
    <w:p w14:paraId="50AC0104">
      <w:pPr>
        <w:pStyle w:val="56"/>
        <w:ind w:firstLine="420"/>
      </w:pPr>
      <w:r>
        <w:rPr>
          <w:rFonts w:hint="eastAsia"/>
        </w:rPr>
        <w:t>本文件参照GB/T 1.1—2020《标准化工作导则  第1部分：标准化文件的结构和起草规则》的规定起草。</w:t>
      </w:r>
    </w:p>
    <w:p w14:paraId="07AC297A">
      <w:pPr>
        <w:pStyle w:val="56"/>
        <w:ind w:firstLine="420"/>
      </w:pPr>
      <w:r>
        <w:rPr>
          <w:rFonts w:hint="eastAsia"/>
        </w:rPr>
        <w:t>请注意本文件的某些内容可能涉及专利。本文件的发布机构不承担识别专利的责任。</w:t>
      </w:r>
    </w:p>
    <w:p w14:paraId="71D17964">
      <w:pPr>
        <w:pStyle w:val="56"/>
        <w:ind w:firstLine="420"/>
        <w:rPr>
          <w:rFonts w:ascii="Times New Roman"/>
        </w:rPr>
      </w:pPr>
      <w:r>
        <w:rPr>
          <w:rFonts w:hint="eastAsia" w:ascii="Times New Roman"/>
        </w:rPr>
        <w:t>本文件由广西化妆品协会提出、归口并宣贯。</w:t>
      </w:r>
    </w:p>
    <w:p w14:paraId="1804FE86">
      <w:pPr>
        <w:pStyle w:val="56"/>
        <w:ind w:firstLine="420"/>
        <w:rPr>
          <w:rFonts w:ascii="Times New Roman"/>
        </w:rPr>
      </w:pPr>
      <w:r>
        <w:rPr>
          <w:rFonts w:hint="eastAsia" w:ascii="Times New Roman"/>
        </w:rPr>
        <w:t>本文件起草单位：广西和桂集团有限公司、广西壮族自治区药品检验研究院、广西和桂生物工程有限公司、广西源生堂生物科技股份有限公司。</w:t>
      </w:r>
    </w:p>
    <w:p w14:paraId="384A390E">
      <w:pPr>
        <w:pStyle w:val="56"/>
        <w:ind w:firstLine="420"/>
        <w:rPr>
          <w:rFonts w:ascii="Times New Roman"/>
        </w:rPr>
      </w:pPr>
      <w:r>
        <w:rPr>
          <w:rFonts w:hint="eastAsia" w:ascii="Times New Roman"/>
        </w:rPr>
        <w:t>本文件主要起草人：黄伟文、张科明、杨天云、</w:t>
      </w:r>
      <w:r>
        <w:rPr>
          <w:rFonts w:hint="eastAsia" w:ascii="Times New Roman"/>
          <w:lang w:eastAsia="zh-CN"/>
        </w:rPr>
        <w:t>谭强、</w:t>
      </w:r>
      <w:r>
        <w:rPr>
          <w:rFonts w:hint="eastAsia" w:ascii="Times New Roman"/>
        </w:rPr>
        <w:t>梁结时、张仁健、罗轶、农文龙、唐乐、甘斌、</w:t>
      </w:r>
    </w:p>
    <w:p w14:paraId="2FE0599A">
      <w:pPr>
        <w:pStyle w:val="56"/>
        <w:ind w:firstLine="0" w:firstLineChars="0"/>
        <w:rPr>
          <w:rFonts w:ascii="Times New Roman"/>
        </w:rPr>
      </w:pPr>
      <w:r>
        <w:rPr>
          <w:rFonts w:hint="eastAsia" w:ascii="Times New Roman"/>
        </w:rPr>
        <w:t>杨卓林、覃珊珊。</w:t>
      </w:r>
    </w:p>
    <w:p w14:paraId="5CB18C9B">
      <w:pPr>
        <w:pStyle w:val="56"/>
        <w:ind w:firstLine="0" w:firstLineChars="0"/>
        <w:rPr>
          <w:rFonts w:ascii="Times New Roman"/>
        </w:rPr>
      </w:pPr>
    </w:p>
    <w:p w14:paraId="41B772BB">
      <w:pPr>
        <w:pStyle w:val="56"/>
        <w:ind w:firstLine="420"/>
        <w:rPr>
          <w:rFonts w:ascii="Times New Roma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1D101A74">
      <w:pPr>
        <w:spacing w:line="20" w:lineRule="exact"/>
        <w:jc w:val="center"/>
        <w:rPr>
          <w:rFonts w:ascii="Times New Roman" w:hAnsi="Times New Roman" w:eastAsia="黑体"/>
          <w:sz w:val="32"/>
          <w:szCs w:val="32"/>
        </w:rPr>
      </w:pPr>
      <w:bookmarkStart w:id="21" w:name="BookMark4"/>
    </w:p>
    <w:p w14:paraId="4D7334C2">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7EA712D8F4DD49BEAF1FC37512CBE721"/>
        </w:placeholder>
      </w:sdtPr>
      <w:sdtEndPr>
        <w:rPr>
          <w:rFonts w:ascii="Times New Roman" w:hAnsi="Times New Roman"/>
        </w:rPr>
      </w:sdtEndPr>
      <w:sdtContent>
        <w:p w14:paraId="0D302514">
          <w:pPr>
            <w:pStyle w:val="177"/>
            <w:spacing w:beforeLines="1" w:afterLines="220"/>
            <w:rPr>
              <w:rFonts w:ascii="Times New Roman" w:hAnsi="Times New Roman"/>
            </w:rPr>
          </w:pPr>
          <w:bookmarkStart w:id="22" w:name="NEW_STAND_NAME"/>
          <w:r>
            <w:rPr>
              <w:rFonts w:hint="eastAsia" w:ascii="Times New Roman" w:hAnsi="Times New Roman"/>
            </w:rPr>
            <w:t>化妆品用原料  金花茶提取物</w:t>
          </w:r>
        </w:p>
      </w:sdtContent>
    </w:sdt>
    <w:bookmarkEnd w:id="22"/>
    <w:p w14:paraId="4D935FD9">
      <w:pPr>
        <w:pStyle w:val="104"/>
        <w:spacing w:before="240" w:after="240"/>
        <w:rPr>
          <w:rFonts w:ascii="Times New Roman"/>
        </w:rPr>
      </w:pPr>
      <w:bookmarkStart w:id="23" w:name="_Toc17233333"/>
      <w:bookmarkStart w:id="24" w:name="_Toc26986771"/>
      <w:bookmarkStart w:id="25" w:name="_Toc24884218"/>
      <w:bookmarkStart w:id="26" w:name="_Toc26648465"/>
      <w:bookmarkStart w:id="27" w:name="_Toc26718930"/>
      <w:bookmarkStart w:id="28" w:name="_Toc97192964"/>
      <w:bookmarkStart w:id="29" w:name="_Toc24884211"/>
      <w:bookmarkStart w:id="30" w:name="_Toc17233325"/>
      <w:bookmarkStart w:id="31" w:name="_Toc26986530"/>
      <w:r>
        <w:rPr>
          <w:rFonts w:hint="eastAsia" w:ascii="Times New Roman"/>
        </w:rPr>
        <w:t>范围</w:t>
      </w:r>
      <w:bookmarkEnd w:id="23"/>
      <w:bookmarkEnd w:id="24"/>
      <w:bookmarkEnd w:id="25"/>
      <w:bookmarkEnd w:id="26"/>
      <w:bookmarkEnd w:id="27"/>
      <w:bookmarkEnd w:id="28"/>
      <w:bookmarkEnd w:id="29"/>
      <w:bookmarkEnd w:id="30"/>
      <w:bookmarkEnd w:id="31"/>
    </w:p>
    <w:p w14:paraId="5B9CB984">
      <w:pPr>
        <w:pStyle w:val="56"/>
        <w:ind w:firstLine="420"/>
        <w:rPr>
          <w:rFonts w:ascii="Times New Roman"/>
        </w:rPr>
      </w:pPr>
      <w:bookmarkStart w:id="32" w:name="_Toc17233334"/>
      <w:bookmarkStart w:id="33" w:name="_Toc17233326"/>
      <w:bookmarkStart w:id="34" w:name="_Toc24884219"/>
      <w:bookmarkStart w:id="35" w:name="_Toc24884212"/>
      <w:bookmarkStart w:id="36" w:name="_Toc26648466"/>
      <w:r>
        <w:rPr>
          <w:rFonts w:hint="eastAsia" w:ascii="Times New Roman"/>
        </w:rPr>
        <w:t>本文件界定了金花茶提取物的术语和定义，规定了技术要求、检测方法、检验规则、标志、包装、运输、贮存和保质期。</w:t>
      </w:r>
    </w:p>
    <w:p w14:paraId="6EDAFD4A">
      <w:pPr>
        <w:pStyle w:val="56"/>
        <w:ind w:firstLine="420"/>
        <w:rPr>
          <w:rFonts w:ascii="Times New Roman"/>
        </w:rPr>
      </w:pPr>
      <w:r>
        <w:rPr>
          <w:rFonts w:hint="eastAsia" w:ascii="Times New Roman"/>
        </w:rPr>
        <w:t>本文件适用于以山茶科植物金花茶</w:t>
      </w:r>
      <w:r>
        <w:rPr>
          <w:rFonts w:hint="eastAsia" w:ascii="Times New Roman"/>
          <w:i/>
          <w:iCs/>
          <w:szCs w:val="21"/>
        </w:rPr>
        <w:t>Camellia petelotii</w:t>
      </w:r>
      <w:r>
        <w:rPr>
          <w:rFonts w:hint="eastAsia" w:ascii="Times New Roman"/>
        </w:rPr>
        <w:t>（Merrill）Sealy的干燥叶或花为原料，经适当溶剂提取、浓缩等工艺制成的用于化妆品原料的金花茶提取液。</w:t>
      </w:r>
    </w:p>
    <w:p w14:paraId="0FC8B841">
      <w:pPr>
        <w:pStyle w:val="104"/>
        <w:spacing w:before="240" w:after="240"/>
        <w:rPr>
          <w:rFonts w:ascii="Times New Roman"/>
        </w:rPr>
      </w:pPr>
      <w:bookmarkStart w:id="37" w:name="_Toc26986772"/>
      <w:bookmarkStart w:id="38" w:name="_Toc97192965"/>
      <w:bookmarkStart w:id="39" w:name="_Toc26718931"/>
      <w:bookmarkStart w:id="40" w:name="_Toc26986531"/>
      <w:r>
        <w:rPr>
          <w:rFonts w:hint="eastAsia" w:ascii="Times New Roman"/>
        </w:rPr>
        <w:t>规范性引用</w:t>
      </w:r>
      <w:bookmarkEnd w:id="32"/>
      <w:bookmarkEnd w:id="33"/>
      <w:bookmarkEnd w:id="34"/>
      <w:bookmarkEnd w:id="35"/>
      <w:bookmarkEnd w:id="36"/>
      <w:bookmarkEnd w:id="37"/>
      <w:bookmarkEnd w:id="38"/>
      <w:bookmarkEnd w:id="39"/>
      <w:bookmarkEnd w:id="40"/>
      <w:r>
        <w:rPr>
          <w:rFonts w:hint="eastAsia" w:ascii="Times New Roman"/>
        </w:rPr>
        <w:t>文件</w:t>
      </w:r>
    </w:p>
    <w:sdt>
      <w:sdtPr>
        <w:rPr>
          <w:rFonts w:hint="eastAsia" w:ascii="Times New Roman"/>
        </w:rPr>
        <w:id w:val="715848253"/>
        <w:placeholder>
          <w:docPart w:val="A51013DF8B5541C6BC12DF11FE89421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rPr>
      </w:sdtEndPr>
      <w:sdtContent>
        <w:p w14:paraId="240C4BC8">
          <w:pPr>
            <w:pStyle w:val="56"/>
            <w:ind w:firstLine="420"/>
            <w:rPr>
              <w:rFonts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FF04AE">
      <w:pPr>
        <w:pStyle w:val="56"/>
        <w:ind w:firstLine="420"/>
        <w:rPr>
          <w:rFonts w:hAnsi="宋体"/>
          <w:color w:val="000000" w:themeColor="text1"/>
        </w:rPr>
      </w:pPr>
      <w:r>
        <w:rPr>
          <w:rFonts w:hint="eastAsia" w:hAnsi="宋体"/>
          <w:color w:val="000000" w:themeColor="text1"/>
        </w:rPr>
        <w:t>GB/T 191  包装储运图示标志</w:t>
      </w:r>
    </w:p>
    <w:p w14:paraId="1A38DF3A">
      <w:pPr>
        <w:pStyle w:val="56"/>
        <w:ind w:firstLine="420"/>
        <w:rPr>
          <w:rFonts w:hAnsi="宋体"/>
          <w:color w:val="000000" w:themeColor="text1"/>
        </w:rPr>
      </w:pPr>
      <w:r>
        <w:rPr>
          <w:rFonts w:hint="eastAsia" w:hAnsi="宋体"/>
          <w:color w:val="000000" w:themeColor="text1"/>
        </w:rPr>
        <w:t>GB/T 601  化学试剂  标准滴定溶液的制备</w:t>
      </w:r>
    </w:p>
    <w:p w14:paraId="6EC90287">
      <w:pPr>
        <w:pStyle w:val="56"/>
        <w:ind w:firstLine="420"/>
        <w:rPr>
          <w:rFonts w:hAnsi="宋体"/>
          <w:color w:val="000000" w:themeColor="text1"/>
        </w:rPr>
      </w:pPr>
      <w:r>
        <w:rPr>
          <w:rFonts w:hint="eastAsia" w:hAnsi="宋体"/>
          <w:color w:val="000000" w:themeColor="text1"/>
        </w:rPr>
        <w:t>GB/T 602  化学试剂  杂质测定用标准溶液的制备</w:t>
      </w:r>
    </w:p>
    <w:p w14:paraId="07EDC192">
      <w:pPr>
        <w:pStyle w:val="56"/>
        <w:ind w:firstLine="420"/>
        <w:rPr>
          <w:rFonts w:hAnsi="宋体"/>
          <w:color w:val="000000" w:themeColor="text1"/>
        </w:rPr>
      </w:pPr>
      <w:r>
        <w:rPr>
          <w:rFonts w:hint="eastAsia" w:hAnsi="宋体"/>
          <w:color w:val="000000" w:themeColor="text1"/>
        </w:rPr>
        <w:t>GB/T 603  化学试剂  实验方法中所用制剂及制品的制备</w:t>
      </w:r>
    </w:p>
    <w:p w14:paraId="756F8F1A">
      <w:pPr>
        <w:pStyle w:val="56"/>
        <w:ind w:firstLine="420"/>
        <w:rPr>
          <w:rFonts w:hAnsi="宋体"/>
          <w:color w:val="000000" w:themeColor="text1"/>
        </w:rPr>
      </w:pPr>
      <w:r>
        <w:rPr>
          <w:rFonts w:hint="eastAsia" w:hAnsi="宋体"/>
          <w:color w:val="000000" w:themeColor="text1"/>
        </w:rPr>
        <w:t>GB/T 6678  化工产品采样总则</w:t>
      </w:r>
    </w:p>
    <w:p w14:paraId="2B86438B">
      <w:pPr>
        <w:pStyle w:val="56"/>
        <w:ind w:firstLine="420"/>
        <w:rPr>
          <w:rFonts w:hAnsi="宋体"/>
          <w:color w:val="000000" w:themeColor="text1"/>
        </w:rPr>
      </w:pPr>
      <w:r>
        <w:rPr>
          <w:rFonts w:hint="eastAsia" w:hAnsi="宋体"/>
          <w:color w:val="000000" w:themeColor="text1"/>
        </w:rPr>
        <w:t>GB/T 6680  液体化工产品采样通则</w:t>
      </w:r>
    </w:p>
    <w:p w14:paraId="170EC990">
      <w:pPr>
        <w:pStyle w:val="56"/>
        <w:ind w:firstLine="420"/>
        <w:rPr>
          <w:rFonts w:hAnsi="宋体"/>
          <w:color w:val="000000" w:themeColor="text1"/>
        </w:rPr>
      </w:pPr>
      <w:r>
        <w:rPr>
          <w:rFonts w:hint="eastAsia" w:hAnsi="宋体"/>
          <w:color w:val="000000" w:themeColor="text1"/>
        </w:rPr>
        <w:t>GB/T 6682  分析实验室用水规格和实验方法</w:t>
      </w:r>
    </w:p>
    <w:p w14:paraId="34167389">
      <w:pPr>
        <w:pStyle w:val="56"/>
        <w:ind w:firstLine="420"/>
        <w:rPr>
          <w:rFonts w:hAnsi="宋体"/>
          <w:color w:val="000000" w:themeColor="text1"/>
        </w:rPr>
      </w:pPr>
      <w:r>
        <w:rPr>
          <w:rFonts w:hint="eastAsia" w:hAnsi="宋体"/>
          <w:color w:val="000000" w:themeColor="text1"/>
        </w:rPr>
        <w:t>GB/T 8313  茶叶中茶多酚和儿茶素类含量的检测方法</w:t>
      </w:r>
    </w:p>
    <w:p w14:paraId="2807A477">
      <w:pPr>
        <w:pStyle w:val="56"/>
        <w:ind w:firstLine="420"/>
        <w:rPr>
          <w:rFonts w:hAnsi="宋体"/>
          <w:color w:val="000000" w:themeColor="text1"/>
        </w:rPr>
      </w:pPr>
      <w:r>
        <w:rPr>
          <w:rFonts w:hint="eastAsia" w:hAnsi="宋体"/>
          <w:color w:val="000000" w:themeColor="text1"/>
        </w:rPr>
        <w:t>GB/T 39665  含植物提取物类化妆品中55种禁用农药残留量的测定</w:t>
      </w:r>
    </w:p>
    <w:p w14:paraId="36CD632C">
      <w:pPr>
        <w:pStyle w:val="56"/>
        <w:ind w:firstLine="420"/>
        <w:rPr>
          <w:rFonts w:hAnsi="宋体"/>
          <w:color w:val="000000" w:themeColor="text1"/>
        </w:rPr>
      </w:pPr>
      <w:r>
        <w:rPr>
          <w:rFonts w:hAnsi="宋体"/>
          <w:color w:val="000000" w:themeColor="text1"/>
        </w:rPr>
        <w:t xml:space="preserve">SN/T 4260 </w:t>
      </w:r>
      <w:r>
        <w:rPr>
          <w:rFonts w:hint="eastAsia" w:hAnsi="宋体"/>
          <w:color w:val="000000" w:themeColor="text1"/>
        </w:rPr>
        <w:t xml:space="preserve"> </w:t>
      </w:r>
      <w:r>
        <w:rPr>
          <w:rFonts w:hAnsi="宋体"/>
          <w:color w:val="000000" w:themeColor="text1"/>
        </w:rPr>
        <w:t xml:space="preserve">出口植物源食品中粗多糖的测定 </w:t>
      </w:r>
      <w:r>
        <w:rPr>
          <w:rFonts w:hint="eastAsia" w:hAnsi="宋体"/>
          <w:color w:val="000000" w:themeColor="text1"/>
        </w:rPr>
        <w:t xml:space="preserve"> </w:t>
      </w:r>
      <w:r>
        <w:rPr>
          <w:rFonts w:hAnsi="宋体"/>
          <w:color w:val="000000" w:themeColor="text1"/>
        </w:rPr>
        <w:t>苯酚-硫酸法</w:t>
      </w:r>
    </w:p>
    <w:p w14:paraId="00EC0687">
      <w:pPr>
        <w:pStyle w:val="56"/>
        <w:ind w:firstLine="420"/>
        <w:rPr>
          <w:rFonts w:hAnsi="宋体"/>
          <w:color w:val="000000" w:themeColor="text1"/>
        </w:rPr>
      </w:pPr>
      <w:bookmarkStart w:id="41" w:name="OLE_LINK9"/>
      <w:r>
        <w:rPr>
          <w:rFonts w:hAnsi="宋体"/>
          <w:color w:val="000000" w:themeColor="text1"/>
        </w:rPr>
        <w:t>SN/T 4592</w:t>
      </w:r>
      <w:bookmarkEnd w:id="41"/>
      <w:r>
        <w:rPr>
          <w:rFonts w:hAnsi="宋体"/>
          <w:color w:val="000000" w:themeColor="text1"/>
        </w:rPr>
        <w:t xml:space="preserve"> </w:t>
      </w:r>
      <w:r>
        <w:rPr>
          <w:rFonts w:hint="eastAsia" w:hAnsi="宋体"/>
          <w:color w:val="000000" w:themeColor="text1"/>
        </w:rPr>
        <w:t xml:space="preserve"> </w:t>
      </w:r>
      <w:r>
        <w:rPr>
          <w:rFonts w:hAnsi="宋体"/>
          <w:color w:val="000000" w:themeColor="text1"/>
        </w:rPr>
        <w:t>出口食品中总黄酮的测定</w:t>
      </w:r>
    </w:p>
    <w:p w14:paraId="08CE70FF">
      <w:pPr>
        <w:pStyle w:val="56"/>
        <w:ind w:firstLine="420"/>
        <w:rPr>
          <w:rFonts w:hAnsi="宋体"/>
        </w:rPr>
      </w:pPr>
      <w:r>
        <w:rPr>
          <w:rFonts w:hint="eastAsia" w:hAnsi="宋体"/>
        </w:rPr>
        <w:t>化妆品安全技术规范</w:t>
      </w:r>
    </w:p>
    <w:p w14:paraId="121F47F7">
      <w:pPr>
        <w:pStyle w:val="56"/>
        <w:ind w:firstLine="420"/>
        <w:rPr>
          <w:rFonts w:hAnsi="宋体"/>
        </w:rPr>
      </w:pPr>
      <w:r>
        <w:rPr>
          <w:rFonts w:hint="eastAsia" w:hAnsi="宋体"/>
        </w:rPr>
        <w:t>中华人民共和国药典（2025年版）</w:t>
      </w:r>
    </w:p>
    <w:p w14:paraId="25150DE8">
      <w:pPr>
        <w:pStyle w:val="104"/>
        <w:spacing w:before="240" w:after="240"/>
        <w:rPr>
          <w:rFonts w:ascii="Times New Roman"/>
        </w:rPr>
      </w:pPr>
      <w:bookmarkStart w:id="42" w:name="_Toc97192966"/>
      <w:r>
        <w:rPr>
          <w:rFonts w:hint="eastAsia" w:ascii="Times New Roman"/>
          <w:szCs w:val="21"/>
        </w:rPr>
        <w:t>术语和定义</w:t>
      </w:r>
      <w:bookmarkEnd w:id="42"/>
    </w:p>
    <w:sdt>
      <w:sdtPr>
        <w:rPr>
          <w:rFonts w:hint="eastAsia" w:ascii="Times New Roman"/>
        </w:rPr>
        <w:id w:val="-1909835108"/>
        <w:placeholder>
          <w:docPart w:val="9AF852F29C8E48A7A6962F85A79F14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Times New Roman"/>
        </w:rPr>
      </w:sdtEndPr>
      <w:sdtContent>
        <w:p w14:paraId="53BD8AF5">
          <w:pPr>
            <w:pStyle w:val="56"/>
            <w:ind w:firstLine="420"/>
            <w:rPr>
              <w:rFonts w:ascii="Times New Roman"/>
            </w:rPr>
          </w:pPr>
          <w:bookmarkStart w:id="43" w:name="_Toc26986532"/>
          <w:bookmarkEnd w:id="43"/>
          <w:r>
            <w:rPr>
              <w:rFonts w:hint="eastAsia" w:ascii="Times New Roman"/>
            </w:rPr>
            <w:t>下列术语和定义适用于本文件。</w:t>
          </w:r>
        </w:p>
      </w:sdtContent>
    </w:sdt>
    <w:p w14:paraId="1E5E4F7A">
      <w:pPr>
        <w:pStyle w:val="223"/>
        <w:ind w:left="420" w:hanging="420" w:hangingChars="200"/>
        <w:rPr>
          <w:rFonts w:ascii="Times New Roman" w:eastAsia="黑体"/>
        </w:rPr>
      </w:pPr>
      <w:bookmarkStart w:id="44" w:name="_Hlk201649886"/>
    </w:p>
    <w:p w14:paraId="6920CB94">
      <w:pPr>
        <w:pStyle w:val="223"/>
        <w:numPr>
          <w:ilvl w:val="0"/>
          <w:numId w:val="0"/>
        </w:numPr>
        <w:ind w:left="420"/>
        <w:rPr>
          <w:rFonts w:ascii="Times New Roman" w:eastAsia="黑体"/>
        </w:rPr>
      </w:pPr>
      <w:r>
        <w:rPr>
          <w:rFonts w:ascii="Times New Roman" w:eastAsia="黑体"/>
        </w:rPr>
        <w:t>金花茶提取物</w:t>
      </w:r>
      <w:bookmarkEnd w:id="44"/>
      <w:r>
        <w:rPr>
          <w:rFonts w:hint="eastAsia" w:ascii="Times New Roman" w:eastAsia="黑体"/>
        </w:rPr>
        <w:t xml:space="preserve"> </w:t>
      </w:r>
    </w:p>
    <w:p w14:paraId="29F412F4">
      <w:pPr>
        <w:pStyle w:val="56"/>
        <w:ind w:firstLine="420"/>
        <w:rPr>
          <w:rFonts w:ascii="Times New Roman"/>
        </w:rPr>
      </w:pPr>
      <w:r>
        <w:rPr>
          <w:rFonts w:hint="eastAsia" w:ascii="Times New Roman" w:cs="宋体"/>
          <w:snapToGrid w:val="0"/>
          <w:szCs w:val="21"/>
        </w:rPr>
        <w:t>以</w:t>
      </w:r>
      <w:bookmarkStart w:id="45" w:name="OLE_LINK5"/>
      <w:r>
        <w:rPr>
          <w:rFonts w:hint="eastAsia" w:ascii="Times New Roman" w:cs="宋体"/>
          <w:snapToGrid w:val="0"/>
          <w:szCs w:val="21"/>
        </w:rPr>
        <w:t>水或</w:t>
      </w:r>
      <w:r>
        <w:rPr>
          <w:rFonts w:hint="eastAsia" w:ascii="Times New Roman" w:cs="宋体"/>
          <w:snapToGrid w:val="0"/>
        </w:rPr>
        <w:t>水</w:t>
      </w:r>
      <w:r>
        <w:rPr>
          <w:rFonts w:hint="eastAsia" w:hAnsi="宋体" w:cs="宋体"/>
          <w:snapToGrid w:val="0"/>
        </w:rPr>
        <w:t>-</w:t>
      </w:r>
      <w:r>
        <w:rPr>
          <w:rFonts w:hint="eastAsia" w:ascii="Times New Roman" w:cs="宋体"/>
          <w:snapToGrid w:val="0"/>
        </w:rPr>
        <w:t>乙醇</w:t>
      </w:r>
      <w:r>
        <w:rPr>
          <w:rFonts w:hint="eastAsia" w:ascii="Times New Roman" w:cs="宋体"/>
          <w:snapToGrid w:val="0"/>
          <w:szCs w:val="21"/>
        </w:rPr>
        <w:t>混合溶剂为提取溶液</w:t>
      </w:r>
      <w:bookmarkEnd w:id="45"/>
      <w:r>
        <w:rPr>
          <w:rFonts w:hint="eastAsia" w:ascii="Times New Roman" w:cs="宋体"/>
          <w:snapToGrid w:val="0"/>
          <w:szCs w:val="21"/>
        </w:rPr>
        <w:t>，</w:t>
      </w:r>
      <w:r>
        <w:rPr>
          <w:rFonts w:hint="eastAsia" w:ascii="Times New Roman"/>
        </w:rPr>
        <w:t>以山茶科植物金花茶</w:t>
      </w:r>
      <w:r>
        <w:rPr>
          <w:rFonts w:hint="eastAsia" w:ascii="Times New Roman"/>
          <w:i/>
          <w:iCs/>
          <w:szCs w:val="21"/>
        </w:rPr>
        <w:t>Camellia petelotii</w:t>
      </w:r>
      <w:r>
        <w:rPr>
          <w:rFonts w:hint="eastAsia" w:ascii="Times New Roman"/>
        </w:rPr>
        <w:t>（Merrill）Sealy的干燥叶或花为原料提取浓缩得到的、可用作化妆品原料的金花茶提取液。</w:t>
      </w:r>
    </w:p>
    <w:p w14:paraId="36B76DC7">
      <w:pPr>
        <w:pStyle w:val="223"/>
        <w:ind w:left="420" w:hanging="420" w:hangingChars="200"/>
        <w:rPr>
          <w:rFonts w:ascii="Times New Roman" w:eastAsia="黑体"/>
        </w:rPr>
      </w:pPr>
    </w:p>
    <w:p w14:paraId="2B6423D8">
      <w:pPr>
        <w:pStyle w:val="223"/>
        <w:numPr>
          <w:ilvl w:val="0"/>
          <w:numId w:val="0"/>
        </w:numPr>
        <w:ind w:left="420"/>
        <w:rPr>
          <w:rFonts w:ascii="Times New Roman" w:eastAsia="黑体"/>
        </w:rPr>
      </w:pPr>
      <w:r>
        <w:rPr>
          <w:rFonts w:hint="eastAsia" w:ascii="Times New Roman" w:eastAsia="黑体"/>
        </w:rPr>
        <w:t>活性成分</w:t>
      </w:r>
    </w:p>
    <w:p w14:paraId="2E82B3C6">
      <w:pPr>
        <w:pStyle w:val="56"/>
        <w:ind w:firstLine="420"/>
        <w:rPr>
          <w:rFonts w:ascii="Times New Roman" w:cs="宋体"/>
          <w:snapToGrid w:val="0"/>
          <w:szCs w:val="21"/>
        </w:rPr>
      </w:pPr>
      <w:r>
        <w:rPr>
          <w:rFonts w:ascii="Times New Roman" w:cs="宋体"/>
          <w:snapToGrid w:val="0"/>
          <w:szCs w:val="21"/>
        </w:rPr>
        <w:t>金花茶提取物的主要活性成分</w:t>
      </w:r>
      <w:r>
        <w:rPr>
          <w:rFonts w:hint="eastAsia" w:ascii="Times New Roman" w:cs="宋体"/>
          <w:snapToGrid w:val="0"/>
          <w:szCs w:val="21"/>
        </w:rPr>
        <w:t>为</w:t>
      </w:r>
      <w:r>
        <w:rPr>
          <w:rFonts w:ascii="Times New Roman" w:cs="宋体"/>
          <w:snapToGrid w:val="0"/>
          <w:szCs w:val="21"/>
        </w:rPr>
        <w:t>：</w:t>
      </w:r>
      <w:r>
        <w:rPr>
          <w:rFonts w:hint="eastAsia" w:ascii="Times New Roman" w:cs="宋体"/>
          <w:snapToGrid w:val="0"/>
          <w:szCs w:val="21"/>
        </w:rPr>
        <w:t>多酚、黄酮、多糖类化合物。其中，多酚类化合物包括</w:t>
      </w:r>
      <w:r>
        <w:rPr>
          <w:rFonts w:ascii="Times New Roman" w:cs="宋体"/>
          <w:snapToGrid w:val="0"/>
          <w:szCs w:val="21"/>
        </w:rPr>
        <w:t>儿茶素类、黄烷酮类、酚酸类和花色苷等</w:t>
      </w:r>
      <w:r>
        <w:rPr>
          <w:rFonts w:hint="eastAsia" w:ascii="Times New Roman" w:cs="宋体"/>
          <w:snapToGrid w:val="0"/>
          <w:szCs w:val="21"/>
        </w:rPr>
        <w:t>四大类</w:t>
      </w:r>
      <w:r>
        <w:rPr>
          <w:rFonts w:ascii="Times New Roman" w:cs="宋体"/>
          <w:snapToGrid w:val="0"/>
          <w:szCs w:val="21"/>
        </w:rPr>
        <w:t>物质</w:t>
      </w:r>
      <w:r>
        <w:rPr>
          <w:rFonts w:hint="eastAsia" w:ascii="Times New Roman" w:cs="宋体"/>
          <w:snapToGrid w:val="0"/>
          <w:szCs w:val="21"/>
        </w:rPr>
        <w:t>，</w:t>
      </w:r>
      <w:r>
        <w:rPr>
          <w:rFonts w:ascii="Times New Roman" w:cs="宋体"/>
          <w:snapToGrid w:val="0"/>
          <w:szCs w:val="21"/>
        </w:rPr>
        <w:t>黄酮类化合物</w:t>
      </w:r>
      <w:r>
        <w:rPr>
          <w:rFonts w:hint="eastAsia" w:ascii="Times New Roman" w:cs="宋体"/>
          <w:snapToGrid w:val="0"/>
          <w:szCs w:val="21"/>
        </w:rPr>
        <w:t>主要包括</w:t>
      </w:r>
      <w:r>
        <w:rPr>
          <w:rFonts w:ascii="Times New Roman" w:cs="宋体"/>
          <w:snapToGrid w:val="0"/>
          <w:szCs w:val="21"/>
        </w:rPr>
        <w:t>槲皮素</w:t>
      </w:r>
      <w:r>
        <w:rPr>
          <w:rFonts w:hint="eastAsia" w:ascii="Times New Roman" w:cs="宋体"/>
          <w:snapToGrid w:val="0"/>
          <w:szCs w:val="21"/>
        </w:rPr>
        <w:t>和</w:t>
      </w:r>
      <w:r>
        <w:rPr>
          <w:rFonts w:ascii="Times New Roman" w:cs="宋体"/>
          <w:snapToGrid w:val="0"/>
          <w:szCs w:val="21"/>
        </w:rPr>
        <w:t>山</w:t>
      </w:r>
      <w:r>
        <w:rPr>
          <w:rFonts w:hint="eastAsia" w:ascii="Times New Roman" w:cs="宋体"/>
          <w:snapToGrid w:val="0"/>
          <w:szCs w:val="21"/>
        </w:rPr>
        <w:t>柰</w:t>
      </w:r>
      <w:r>
        <w:rPr>
          <w:rFonts w:ascii="Times New Roman" w:cs="宋体"/>
          <w:snapToGrid w:val="0"/>
          <w:szCs w:val="21"/>
        </w:rPr>
        <w:t>素</w:t>
      </w:r>
      <w:r>
        <w:rPr>
          <w:rFonts w:hint="eastAsia" w:ascii="Times New Roman" w:cs="宋体"/>
          <w:snapToGrid w:val="0"/>
          <w:szCs w:val="21"/>
        </w:rPr>
        <w:t>等物质，多糖类化合物</w:t>
      </w:r>
      <w:r>
        <w:rPr>
          <w:rFonts w:ascii="Times New Roman" w:cs="宋体"/>
          <w:snapToGrid w:val="0"/>
          <w:szCs w:val="21"/>
        </w:rPr>
        <w:t>是一类由醛糖或酮糖通过糖苷键连接而成的天然高分子多聚物</w:t>
      </w:r>
      <w:r>
        <w:rPr>
          <w:rFonts w:hint="eastAsia" w:ascii="Times New Roman" w:cs="宋体"/>
          <w:snapToGrid w:val="0"/>
          <w:szCs w:val="21"/>
        </w:rPr>
        <w:t>。主要活性成分的代表物质如下：</w:t>
      </w:r>
    </w:p>
    <w:p w14:paraId="401DF343">
      <w:pPr>
        <w:pStyle w:val="174"/>
      </w:pPr>
      <w:r>
        <w:rPr>
          <w:rFonts w:hint="eastAsia"/>
        </w:rPr>
        <w:t>儿茶素（</w:t>
      </w:r>
      <w:r>
        <w:t>Cianidanol</w:t>
      </w:r>
      <w:r>
        <w:rPr>
          <w:rFonts w:hint="eastAsia"/>
        </w:rPr>
        <w:t xml:space="preserve">，CAS </w:t>
      </w:r>
      <w:r>
        <w:t>154-23-4</w:t>
      </w:r>
      <w:r>
        <w:rPr>
          <w:rFonts w:hint="eastAsia"/>
        </w:rPr>
        <w:t>）</w:t>
      </w:r>
    </w:p>
    <w:p w14:paraId="43A55D95">
      <w:pPr>
        <w:pStyle w:val="162"/>
        <w:numPr>
          <w:ilvl w:val="0"/>
          <w:numId w:val="0"/>
        </w:numPr>
        <w:ind w:firstLine="840" w:firstLineChars="400"/>
        <w:rPr>
          <w:rFonts w:hAnsi="宋体"/>
        </w:rPr>
      </w:pPr>
      <w:bookmarkStart w:id="46" w:name="OLE_LINK2"/>
      <w:r>
        <w:rPr>
          <w:rFonts w:hint="eastAsia" w:hAnsi="宋体"/>
        </w:rPr>
        <w:t>儿茶素</w:t>
      </w:r>
      <w:bookmarkEnd w:id="46"/>
      <w:r>
        <w:rPr>
          <w:rFonts w:hint="eastAsia" w:hAnsi="宋体"/>
        </w:rPr>
        <w:t>的分子式：C</w:t>
      </w:r>
      <w:r>
        <w:rPr>
          <w:rFonts w:hint="eastAsia" w:hAnsi="宋体"/>
          <w:vertAlign w:val="subscript"/>
        </w:rPr>
        <w:t>15</w:t>
      </w:r>
      <w:r>
        <w:rPr>
          <w:rFonts w:hint="eastAsia" w:hAnsi="宋体"/>
        </w:rPr>
        <w:t>H</w:t>
      </w:r>
      <w:r>
        <w:rPr>
          <w:rFonts w:hint="eastAsia" w:hAnsi="宋体"/>
          <w:vertAlign w:val="subscript"/>
        </w:rPr>
        <w:t>14</w:t>
      </w:r>
      <w:r>
        <w:rPr>
          <w:rFonts w:hint="eastAsia" w:hAnsi="宋体"/>
        </w:rPr>
        <w:t>O</w:t>
      </w:r>
      <w:r>
        <w:rPr>
          <w:rFonts w:hint="eastAsia" w:hAnsi="宋体"/>
          <w:vertAlign w:val="subscript"/>
        </w:rPr>
        <w:t>6</w:t>
      </w:r>
    </w:p>
    <w:p w14:paraId="5DDBD8A7">
      <w:pPr>
        <w:pStyle w:val="162"/>
        <w:numPr>
          <w:ilvl w:val="0"/>
          <w:numId w:val="0"/>
        </w:numPr>
        <w:ind w:firstLine="840" w:firstLineChars="400"/>
        <w:rPr>
          <w:rFonts w:hAnsi="宋体"/>
        </w:rPr>
      </w:pPr>
      <w:r>
        <w:rPr>
          <w:rFonts w:hint="eastAsia" w:hAnsi="宋体"/>
        </w:rPr>
        <w:t>儿茶素的相对分子质量：290.27</w:t>
      </w:r>
    </w:p>
    <w:p w14:paraId="48007ACD">
      <w:pPr>
        <w:pStyle w:val="162"/>
        <w:numPr>
          <w:ilvl w:val="0"/>
          <w:numId w:val="0"/>
        </w:numPr>
        <w:ind w:firstLine="840" w:firstLineChars="400"/>
        <w:rPr>
          <w:rFonts w:ascii="Times New Roman"/>
        </w:rPr>
      </w:pPr>
      <w:r>
        <w:rPr>
          <w:rFonts w:hint="eastAsia" w:ascii="Times New Roman"/>
        </w:rPr>
        <w:t>儿茶素的结构式：</w:t>
      </w:r>
    </w:p>
    <w:p w14:paraId="7D04EA64">
      <w:pPr>
        <w:pStyle w:val="162"/>
        <w:numPr>
          <w:ilvl w:val="0"/>
          <w:numId w:val="0"/>
        </w:numPr>
        <w:jc w:val="center"/>
        <w:rPr>
          <w:rFonts w:hint="eastAsia" w:ascii="Times New Roman"/>
        </w:rPr>
      </w:pPr>
      <w:r>
        <w:rPr>
          <w:rFonts w:ascii="Times New Roman"/>
        </w:rPr>
        <w:drawing>
          <wp:inline distT="0" distB="0" distL="0" distR="0">
            <wp:extent cx="1564005" cy="1564005"/>
            <wp:effectExtent l="0" t="0" r="0" b="0"/>
            <wp:docPr id="916808715" name="图片 3" descr="(-)-儿茶素结构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808715" name="图片 3" descr="(-)-儿茶素结构式"/>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564005" cy="1564005"/>
                    </a:xfrm>
                    <a:prstGeom prst="rect">
                      <a:avLst/>
                    </a:prstGeom>
                    <a:noFill/>
                    <a:ln>
                      <a:noFill/>
                    </a:ln>
                  </pic:spPr>
                </pic:pic>
              </a:graphicData>
            </a:graphic>
          </wp:inline>
        </w:drawing>
      </w:r>
    </w:p>
    <w:p w14:paraId="63AF367A">
      <w:pPr>
        <w:pStyle w:val="174"/>
        <w:numPr>
          <w:ilvl w:val="0"/>
          <w:numId w:val="0"/>
        </w:numPr>
        <w:ind w:left="425"/>
      </w:pPr>
    </w:p>
    <w:p w14:paraId="2318443F">
      <w:pPr>
        <w:pStyle w:val="174"/>
      </w:pPr>
      <w:bookmarkStart w:id="47" w:name="OLE_LINK3"/>
      <w:r>
        <w:rPr>
          <w:rFonts w:hint="eastAsia"/>
        </w:rPr>
        <w:t>槲皮素</w:t>
      </w:r>
      <w:bookmarkEnd w:id="47"/>
      <w:r>
        <w:rPr>
          <w:rFonts w:hint="eastAsia"/>
        </w:rPr>
        <w:t>（Quercetin，CAS 117-39-5）</w:t>
      </w:r>
    </w:p>
    <w:p w14:paraId="47CD70C3">
      <w:pPr>
        <w:pStyle w:val="162"/>
        <w:numPr>
          <w:ilvl w:val="0"/>
          <w:numId w:val="0"/>
        </w:numPr>
        <w:ind w:firstLine="840" w:firstLineChars="400"/>
        <w:rPr>
          <w:rFonts w:hAnsi="宋体"/>
        </w:rPr>
      </w:pPr>
      <w:r>
        <w:rPr>
          <w:rFonts w:hint="eastAsia" w:hAnsi="宋体"/>
        </w:rPr>
        <w:t>槲皮素的分子式：C</w:t>
      </w:r>
      <w:r>
        <w:rPr>
          <w:rFonts w:hint="eastAsia" w:hAnsi="宋体"/>
          <w:vertAlign w:val="subscript"/>
        </w:rPr>
        <w:t>15</w:t>
      </w:r>
      <w:r>
        <w:rPr>
          <w:rFonts w:hint="eastAsia" w:hAnsi="宋体"/>
        </w:rPr>
        <w:t>H</w:t>
      </w:r>
      <w:r>
        <w:rPr>
          <w:rFonts w:hint="eastAsia" w:hAnsi="宋体"/>
          <w:vertAlign w:val="subscript"/>
        </w:rPr>
        <w:t>10</w:t>
      </w:r>
      <w:r>
        <w:rPr>
          <w:rFonts w:hint="eastAsia" w:hAnsi="宋体"/>
        </w:rPr>
        <w:t>O</w:t>
      </w:r>
      <w:r>
        <w:rPr>
          <w:rFonts w:hint="eastAsia" w:hAnsi="宋体"/>
          <w:vertAlign w:val="subscript"/>
        </w:rPr>
        <w:t>7</w:t>
      </w:r>
    </w:p>
    <w:p w14:paraId="4CB249B0">
      <w:pPr>
        <w:pStyle w:val="162"/>
        <w:numPr>
          <w:ilvl w:val="0"/>
          <w:numId w:val="0"/>
        </w:numPr>
        <w:ind w:firstLine="840" w:firstLineChars="400"/>
        <w:rPr>
          <w:rFonts w:hAnsi="宋体"/>
        </w:rPr>
      </w:pPr>
      <w:r>
        <w:rPr>
          <w:rFonts w:hint="eastAsia" w:hAnsi="宋体"/>
        </w:rPr>
        <w:t>槲皮素的相对分子质量：302.24</w:t>
      </w:r>
    </w:p>
    <w:p w14:paraId="7DB0A938">
      <w:pPr>
        <w:pStyle w:val="162"/>
        <w:numPr>
          <w:ilvl w:val="0"/>
          <w:numId w:val="0"/>
        </w:numPr>
        <w:ind w:firstLine="840" w:firstLineChars="400"/>
        <w:rPr>
          <w:rFonts w:ascii="Times New Roman"/>
        </w:rPr>
      </w:pPr>
      <w:r>
        <w:rPr>
          <w:rFonts w:hint="eastAsia" w:ascii="Times New Roman"/>
        </w:rPr>
        <w:t>槲皮素的结构式：</w:t>
      </w:r>
    </w:p>
    <w:p w14:paraId="3A0C265D">
      <w:pPr>
        <w:spacing w:line="240" w:lineRule="auto"/>
        <w:jc w:val="center"/>
        <w:rPr>
          <w:rFonts w:hint="eastAsia" w:ascii="Times New Roman" w:hAnsi="Times New Roman"/>
        </w:rPr>
      </w:pPr>
      <w:r>
        <w:rPr>
          <w:rFonts w:ascii="Times New Roman" w:hAnsi="Times New Roman"/>
        </w:rPr>
        <w:drawing>
          <wp:inline distT="0" distB="0" distL="0" distR="0">
            <wp:extent cx="1562100" cy="1562100"/>
            <wp:effectExtent l="0" t="0" r="0" b="0"/>
            <wp:docPr id="1028234337" name="图片 5" descr="槲皮素结构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234337" name="图片 5" descr="槲皮素结构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562100" cy="1562100"/>
                    </a:xfrm>
                    <a:prstGeom prst="rect">
                      <a:avLst/>
                    </a:prstGeom>
                    <a:noFill/>
                    <a:ln>
                      <a:noFill/>
                    </a:ln>
                  </pic:spPr>
                </pic:pic>
              </a:graphicData>
            </a:graphic>
          </wp:inline>
        </w:drawing>
      </w:r>
    </w:p>
    <w:p w14:paraId="11208F1D">
      <w:pPr>
        <w:spacing w:line="240" w:lineRule="auto"/>
        <w:jc w:val="center"/>
        <w:rPr>
          <w:rFonts w:ascii="Times New Roman" w:hAnsi="Times New Roman"/>
        </w:rPr>
      </w:pPr>
    </w:p>
    <w:p w14:paraId="72E9E871">
      <w:pPr>
        <w:pStyle w:val="162"/>
        <w:numPr>
          <w:ilvl w:val="0"/>
          <w:numId w:val="0"/>
        </w:numPr>
        <w:ind w:firstLine="315" w:firstLineChars="150"/>
        <w:rPr>
          <w:rFonts w:hAnsi="宋体"/>
          <w:vertAlign w:val="subscript"/>
        </w:rPr>
      </w:pPr>
      <w:bookmarkStart w:id="48" w:name="OLE_LINK4"/>
      <w:r>
        <w:rPr>
          <w:rFonts w:hint="eastAsia" w:ascii="Times New Roman"/>
        </w:rPr>
        <w:t xml:space="preserve"> c)  </w:t>
      </w:r>
      <w:bookmarkEnd w:id="48"/>
      <w:r>
        <w:rPr>
          <w:rFonts w:hint="eastAsia" w:hAnsi="宋体"/>
        </w:rPr>
        <w:t>山柰酚</w:t>
      </w:r>
      <w:r>
        <w:rPr>
          <w:rFonts w:hAnsi="宋体"/>
        </w:rPr>
        <w:t>（Kaempfer</w:t>
      </w:r>
      <w:r>
        <w:rPr>
          <w:rFonts w:hint="eastAsia" w:hAnsi="宋体"/>
        </w:rPr>
        <w:t>ol</w:t>
      </w:r>
      <w:r>
        <w:rPr>
          <w:rFonts w:hAnsi="宋体"/>
        </w:rPr>
        <w:t>，CAS</w:t>
      </w:r>
      <w:r>
        <w:rPr>
          <w:rFonts w:hint="eastAsia" w:hAnsi="宋体"/>
        </w:rPr>
        <w:t xml:space="preserve"> 520-18-3</w:t>
      </w:r>
      <w:r>
        <w:rPr>
          <w:rFonts w:hAnsi="宋体"/>
        </w:rPr>
        <w:t>）</w:t>
      </w:r>
    </w:p>
    <w:p w14:paraId="0F7C1132">
      <w:pPr>
        <w:pStyle w:val="162"/>
        <w:numPr>
          <w:ilvl w:val="0"/>
          <w:numId w:val="0"/>
        </w:numPr>
        <w:ind w:firstLine="798" w:firstLineChars="380"/>
        <w:rPr>
          <w:rFonts w:hAnsi="宋体"/>
          <w:vertAlign w:val="subscript"/>
        </w:rPr>
      </w:pPr>
      <w:r>
        <w:rPr>
          <w:rFonts w:hAnsi="宋体"/>
        </w:rPr>
        <w:t>山</w:t>
      </w:r>
      <w:r>
        <w:rPr>
          <w:rFonts w:hint="eastAsia" w:hAnsi="宋体"/>
        </w:rPr>
        <w:t>柰酚</w:t>
      </w:r>
      <w:r>
        <w:rPr>
          <w:rFonts w:hAnsi="宋体"/>
        </w:rPr>
        <w:t>的分子式：C</w:t>
      </w:r>
      <w:r>
        <w:rPr>
          <w:rFonts w:hAnsi="宋体"/>
          <w:vertAlign w:val="subscript"/>
        </w:rPr>
        <w:t>1</w:t>
      </w:r>
      <w:r>
        <w:rPr>
          <w:rFonts w:hint="eastAsia" w:hAnsi="宋体"/>
          <w:vertAlign w:val="subscript"/>
        </w:rPr>
        <w:t>5</w:t>
      </w:r>
      <w:r>
        <w:rPr>
          <w:rFonts w:hAnsi="宋体"/>
        </w:rPr>
        <w:t>H</w:t>
      </w:r>
      <w:r>
        <w:rPr>
          <w:rFonts w:hAnsi="宋体"/>
          <w:vertAlign w:val="subscript"/>
        </w:rPr>
        <w:t>1</w:t>
      </w:r>
      <w:r>
        <w:rPr>
          <w:rFonts w:hint="eastAsia" w:hAnsi="宋体"/>
          <w:vertAlign w:val="subscript"/>
        </w:rPr>
        <w:t>0</w:t>
      </w:r>
      <w:r>
        <w:rPr>
          <w:rFonts w:hAnsi="宋体"/>
        </w:rPr>
        <w:t>O</w:t>
      </w:r>
      <w:r>
        <w:rPr>
          <w:rFonts w:hAnsi="宋体"/>
          <w:vertAlign w:val="subscript"/>
        </w:rPr>
        <w:t>6</w:t>
      </w:r>
    </w:p>
    <w:p w14:paraId="0A949121">
      <w:pPr>
        <w:pStyle w:val="162"/>
        <w:numPr>
          <w:ilvl w:val="0"/>
          <w:numId w:val="0"/>
        </w:numPr>
        <w:ind w:firstLine="798" w:firstLineChars="380"/>
        <w:rPr>
          <w:rFonts w:hAnsi="宋体"/>
        </w:rPr>
      </w:pPr>
      <w:bookmarkStart w:id="49" w:name="OLE_LINK1"/>
      <w:r>
        <w:rPr>
          <w:rFonts w:hAnsi="宋体"/>
        </w:rPr>
        <w:t>山</w:t>
      </w:r>
      <w:bookmarkEnd w:id="49"/>
      <w:r>
        <w:rPr>
          <w:rFonts w:hint="eastAsia" w:hAnsi="宋体"/>
        </w:rPr>
        <w:t>柰酚的</w:t>
      </w:r>
      <w:r>
        <w:rPr>
          <w:rFonts w:hAnsi="宋体"/>
        </w:rPr>
        <w:t>相对分子质量：</w:t>
      </w:r>
      <w:r>
        <w:rPr>
          <w:rFonts w:hint="eastAsia" w:hAnsi="宋体"/>
        </w:rPr>
        <w:t>286</w:t>
      </w:r>
      <w:r>
        <w:rPr>
          <w:rFonts w:hAnsi="宋体"/>
        </w:rPr>
        <w:t>.2</w:t>
      </w:r>
      <w:r>
        <w:rPr>
          <w:rFonts w:hint="eastAsia" w:hAnsi="宋体"/>
        </w:rPr>
        <w:t>4</w:t>
      </w:r>
    </w:p>
    <w:p w14:paraId="1A375DE7">
      <w:pPr>
        <w:pStyle w:val="162"/>
        <w:numPr>
          <w:ilvl w:val="0"/>
          <w:numId w:val="0"/>
        </w:numPr>
        <w:ind w:firstLine="798" w:firstLineChars="380"/>
        <w:rPr>
          <w:rFonts w:ascii="Times New Roman"/>
        </w:rPr>
      </w:pPr>
      <w:r>
        <w:rPr>
          <w:rFonts w:ascii="Times New Roman"/>
        </w:rPr>
        <w:t>山</w:t>
      </w:r>
      <w:r>
        <w:rPr>
          <w:rFonts w:hint="eastAsia" w:ascii="Times New Roman"/>
        </w:rPr>
        <w:t>柰酚的结构式：</w:t>
      </w:r>
    </w:p>
    <w:p w14:paraId="2178CD34">
      <w:pPr>
        <w:spacing w:line="240" w:lineRule="auto"/>
        <w:jc w:val="center"/>
        <w:rPr>
          <w:rFonts w:ascii="Times New Roman" w:hAnsi="Times New Roman"/>
          <w:color w:val="EE0000"/>
          <w:spacing w:val="-2"/>
          <w:sz w:val="24"/>
          <w:szCs w:val="24"/>
        </w:rPr>
      </w:pPr>
      <w:r>
        <w:drawing>
          <wp:inline distT="0" distB="0" distL="0" distR="0">
            <wp:extent cx="2644775" cy="150495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647437" cy="1506300"/>
                    </a:xfrm>
                    <a:prstGeom prst="rect">
                      <a:avLst/>
                    </a:prstGeom>
                    <a:noFill/>
                    <a:ln>
                      <a:noFill/>
                    </a:ln>
                  </pic:spPr>
                </pic:pic>
              </a:graphicData>
            </a:graphic>
          </wp:inline>
        </w:drawing>
      </w:r>
    </w:p>
    <w:p w14:paraId="381570BE">
      <w:pPr>
        <w:spacing w:line="240" w:lineRule="auto"/>
        <w:jc w:val="center"/>
        <w:rPr>
          <w:rFonts w:ascii="Times New Roman" w:hAnsi="Times New Roman"/>
          <w:spacing w:val="-2"/>
          <w:sz w:val="24"/>
          <w:szCs w:val="24"/>
        </w:rPr>
      </w:pPr>
    </w:p>
    <w:p w14:paraId="7B64C36C">
      <w:pPr>
        <w:pStyle w:val="104"/>
        <w:spacing w:before="240" w:after="240"/>
        <w:rPr>
          <w:rFonts w:ascii="Times New Roman"/>
        </w:rPr>
      </w:pPr>
      <w:r>
        <w:rPr>
          <w:rFonts w:hint="eastAsia" w:ascii="Times New Roman"/>
        </w:rPr>
        <w:t>技术要求</w:t>
      </w:r>
    </w:p>
    <w:p w14:paraId="2C2C6312">
      <w:pPr>
        <w:pStyle w:val="105"/>
        <w:spacing w:before="120" w:after="120"/>
        <w:rPr>
          <w:rFonts w:ascii="Times New Roman"/>
        </w:rPr>
      </w:pPr>
      <w:r>
        <w:rPr>
          <w:rFonts w:hint="eastAsia" w:ascii="Times New Roman"/>
        </w:rPr>
        <w:t>工艺要求</w:t>
      </w:r>
    </w:p>
    <w:p w14:paraId="3DE88720">
      <w:pPr>
        <w:pStyle w:val="65"/>
        <w:spacing w:before="120" w:after="120"/>
        <w:rPr>
          <w:rFonts w:ascii="Times New Roman"/>
        </w:rPr>
      </w:pPr>
      <w:r>
        <w:rPr>
          <w:rFonts w:hint="eastAsia" w:ascii="Times New Roman"/>
        </w:rPr>
        <w:t>植物原料</w:t>
      </w:r>
    </w:p>
    <w:p w14:paraId="720025F8">
      <w:pPr>
        <w:pStyle w:val="56"/>
        <w:ind w:firstLine="420"/>
        <w:rPr>
          <w:snapToGrid w:val="0"/>
        </w:rPr>
      </w:pPr>
      <w:r>
        <w:rPr>
          <w:rFonts w:hint="eastAsia"/>
          <w:snapToGrid w:val="0"/>
        </w:rPr>
        <w:t>为山茶科山茶属植物金花茶</w:t>
      </w:r>
      <w:r>
        <w:rPr>
          <w:rFonts w:hint="eastAsia"/>
          <w:i/>
          <w:iCs/>
        </w:rPr>
        <w:t>Camellia petelotii</w:t>
      </w:r>
      <w:r>
        <w:rPr>
          <w:rFonts w:hint="eastAsia"/>
        </w:rPr>
        <w:t>（Merrill）Sealy</w:t>
      </w:r>
      <w:r>
        <w:rPr>
          <w:rFonts w:hint="eastAsia"/>
          <w:snapToGrid w:val="0"/>
        </w:rPr>
        <w:t>的叶或花。叶尚绿时采收或花期时采收，经干燥获得。</w:t>
      </w:r>
    </w:p>
    <w:p w14:paraId="2BA1766A">
      <w:pPr>
        <w:pStyle w:val="65"/>
        <w:spacing w:before="120" w:after="120"/>
        <w:rPr>
          <w:rFonts w:ascii="Times New Roman"/>
        </w:rPr>
      </w:pPr>
      <w:r>
        <w:rPr>
          <w:rFonts w:hint="eastAsia" w:ascii="Times New Roman"/>
        </w:rPr>
        <w:t>工艺过程</w:t>
      </w:r>
    </w:p>
    <w:p w14:paraId="02C4B54D">
      <w:pPr>
        <w:pStyle w:val="56"/>
        <w:ind w:firstLine="420"/>
        <w:rPr>
          <w:rFonts w:hAnsi="宋体"/>
          <w:snapToGrid w:val="0"/>
          <w:color w:val="000000"/>
          <w:spacing w:val="-2"/>
        </w:rPr>
      </w:pPr>
      <w:r>
        <w:t>将原料粉碎后通过</w:t>
      </w:r>
      <w:r>
        <w:rPr>
          <w:rFonts w:hint="eastAsia" w:cs="宋体"/>
          <w:snapToGrid w:val="0"/>
        </w:rPr>
        <w:t>水或水-乙醇混合溶剂作为提取溶剂</w:t>
      </w:r>
      <w:r>
        <w:rPr>
          <w:rFonts w:hint="eastAsia"/>
        </w:rPr>
        <w:t>提取后进一步浓缩而得到的</w:t>
      </w:r>
      <w:r>
        <w:rPr>
          <w:rFonts w:hint="eastAsia"/>
          <w:snapToGrid w:val="0"/>
          <w:color w:val="000000"/>
          <w:spacing w:val="-2"/>
        </w:rPr>
        <w:t>金花茶</w:t>
      </w:r>
      <w:r>
        <w:t>提取液，呈现为</w:t>
      </w:r>
      <w:r>
        <w:rPr>
          <w:rFonts w:hint="eastAsia"/>
        </w:rPr>
        <w:t>水剂型原料，</w:t>
      </w:r>
      <w:r>
        <w:rPr>
          <w:rFonts w:hint="eastAsia"/>
          <w:snapToGrid w:val="0"/>
          <w:color w:val="000000"/>
          <w:spacing w:val="-2"/>
        </w:rPr>
        <w:t>生药量浓度为</w:t>
      </w:r>
      <w:r>
        <w:rPr>
          <w:rFonts w:hint="eastAsia" w:hAnsi="宋体"/>
          <w:snapToGrid w:val="0"/>
          <w:color w:val="000000"/>
          <w:spacing w:val="-2"/>
        </w:rPr>
        <w:t>0.5</w:t>
      </w:r>
      <w:r>
        <w:rPr>
          <w:rFonts w:hint="eastAsia" w:hAnsi="宋体"/>
          <w:snapToGrid w:val="0"/>
          <w:color w:val="000000"/>
          <w:spacing w:val="-2"/>
          <w:vertAlign w:val="superscript"/>
        </w:rPr>
        <w:t xml:space="preserve"> </w:t>
      </w:r>
      <w:r>
        <w:rPr>
          <w:rFonts w:hint="eastAsia" w:hAnsi="宋体"/>
          <w:snapToGrid w:val="0"/>
          <w:color w:val="000000"/>
          <w:spacing w:val="-2"/>
        </w:rPr>
        <w:t>g/mL。</w:t>
      </w:r>
    </w:p>
    <w:p w14:paraId="12C64712">
      <w:pPr>
        <w:pStyle w:val="105"/>
        <w:spacing w:before="120" w:after="120"/>
        <w:rPr>
          <w:rFonts w:ascii="Times New Roman"/>
        </w:rPr>
      </w:pPr>
      <w:r>
        <w:rPr>
          <w:rFonts w:hint="eastAsia" w:ascii="Times New Roman"/>
        </w:rPr>
        <w:t>技术指标</w:t>
      </w:r>
    </w:p>
    <w:p w14:paraId="769AD268">
      <w:pPr>
        <w:pStyle w:val="65"/>
        <w:spacing w:before="120" w:after="120"/>
        <w:rPr>
          <w:rFonts w:ascii="Times New Roman"/>
        </w:rPr>
      </w:pPr>
      <w:r>
        <w:rPr>
          <w:rFonts w:hint="eastAsia" w:ascii="Times New Roman"/>
        </w:rPr>
        <w:t>感官、理化、重金属及微生物指标</w:t>
      </w:r>
    </w:p>
    <w:p w14:paraId="1AB85661">
      <w:pPr>
        <w:pStyle w:val="56"/>
        <w:ind w:firstLine="420"/>
        <w:rPr>
          <w:snapToGrid w:val="0"/>
        </w:rPr>
      </w:pPr>
      <w:r>
        <w:rPr>
          <w:snapToGrid w:val="0"/>
        </w:rPr>
        <w:t>应符合表1要求。</w:t>
      </w:r>
    </w:p>
    <w:p w14:paraId="46826A71">
      <w:pPr>
        <w:pStyle w:val="112"/>
        <w:spacing w:before="120" w:after="120"/>
        <w:rPr>
          <w:rFonts w:ascii="Times New Roman"/>
        </w:rPr>
      </w:pPr>
      <w:r>
        <w:rPr>
          <w:rFonts w:hint="eastAsia" w:ascii="Times New Roman"/>
        </w:rPr>
        <w:t>感官、理化、重金属及微生物指标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18"/>
        <w:gridCol w:w="3734"/>
        <w:gridCol w:w="2126"/>
        <w:gridCol w:w="2160"/>
      </w:tblGrid>
      <w:tr w14:paraId="10933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 w:hRule="atLeast"/>
          <w:tblHeader/>
          <w:jc w:val="center"/>
        </w:trPr>
        <w:tc>
          <w:tcPr>
            <w:tcW w:w="4952" w:type="dxa"/>
            <w:gridSpan w:val="2"/>
            <w:vMerge w:val="restart"/>
            <w:tcBorders>
              <w:top w:val="single" w:color="auto" w:sz="8" w:space="0"/>
            </w:tcBorders>
            <w:shd w:val="clear" w:color="auto" w:fill="auto"/>
            <w:vAlign w:val="center"/>
          </w:tcPr>
          <w:p w14:paraId="3DC9987C">
            <w:pPr>
              <w:pStyle w:val="178"/>
              <w:rPr>
                <w:rFonts w:hAnsi="宋体"/>
              </w:rPr>
            </w:pPr>
            <w:r>
              <w:rPr>
                <w:rFonts w:hint="eastAsia" w:hAnsi="宋体"/>
              </w:rPr>
              <w:t>项目</w:t>
            </w:r>
          </w:p>
        </w:tc>
        <w:tc>
          <w:tcPr>
            <w:tcW w:w="4286" w:type="dxa"/>
            <w:gridSpan w:val="2"/>
            <w:tcBorders>
              <w:top w:val="single" w:color="auto" w:sz="8" w:space="0"/>
              <w:bottom w:val="single" w:color="auto" w:sz="4" w:space="0"/>
            </w:tcBorders>
            <w:shd w:val="clear" w:color="auto" w:fill="auto"/>
            <w:vAlign w:val="center"/>
          </w:tcPr>
          <w:p w14:paraId="2D3B6819">
            <w:pPr>
              <w:pStyle w:val="178"/>
              <w:rPr>
                <w:rFonts w:hAnsi="宋体"/>
              </w:rPr>
            </w:pPr>
            <w:r>
              <w:rPr>
                <w:rFonts w:hint="eastAsia" w:hAnsi="宋体"/>
              </w:rPr>
              <w:t>要求</w:t>
            </w:r>
          </w:p>
        </w:tc>
      </w:tr>
      <w:tr w14:paraId="1E021A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4952" w:type="dxa"/>
            <w:gridSpan w:val="2"/>
            <w:vMerge w:val="continue"/>
            <w:tcBorders>
              <w:bottom w:val="single" w:color="auto" w:sz="8" w:space="0"/>
            </w:tcBorders>
            <w:shd w:val="clear" w:color="auto" w:fill="auto"/>
            <w:vAlign w:val="center"/>
          </w:tcPr>
          <w:p w14:paraId="3C26E88B">
            <w:pPr>
              <w:pStyle w:val="178"/>
              <w:rPr>
                <w:rFonts w:hAnsi="宋体"/>
              </w:rPr>
            </w:pPr>
          </w:p>
        </w:tc>
        <w:tc>
          <w:tcPr>
            <w:tcW w:w="2126" w:type="dxa"/>
            <w:tcBorders>
              <w:top w:val="single" w:color="auto" w:sz="4" w:space="0"/>
              <w:bottom w:val="single" w:color="auto" w:sz="8" w:space="0"/>
            </w:tcBorders>
            <w:shd w:val="clear" w:color="auto" w:fill="auto"/>
            <w:vAlign w:val="center"/>
          </w:tcPr>
          <w:p w14:paraId="4461E871">
            <w:pPr>
              <w:pStyle w:val="178"/>
              <w:rPr>
                <w:rFonts w:hAnsi="宋体"/>
              </w:rPr>
            </w:pPr>
            <w:r>
              <w:rPr>
                <w:rFonts w:hint="eastAsia" w:hAnsi="宋体"/>
              </w:rPr>
              <w:t>叶提取物</w:t>
            </w:r>
          </w:p>
        </w:tc>
        <w:tc>
          <w:tcPr>
            <w:tcW w:w="2160" w:type="dxa"/>
            <w:tcBorders>
              <w:top w:val="single" w:color="auto" w:sz="4" w:space="0"/>
              <w:bottom w:val="single" w:color="auto" w:sz="8" w:space="0"/>
            </w:tcBorders>
            <w:shd w:val="clear" w:color="auto" w:fill="auto"/>
            <w:vAlign w:val="center"/>
          </w:tcPr>
          <w:p w14:paraId="0321564F">
            <w:pPr>
              <w:pStyle w:val="178"/>
              <w:rPr>
                <w:rFonts w:hAnsi="宋体"/>
              </w:rPr>
            </w:pPr>
            <w:r>
              <w:rPr>
                <w:rFonts w:hint="eastAsia" w:hAnsi="宋体"/>
              </w:rPr>
              <w:t>花提取物</w:t>
            </w:r>
          </w:p>
        </w:tc>
      </w:tr>
      <w:tr w14:paraId="7E674B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1218" w:type="dxa"/>
            <w:vMerge w:val="restart"/>
            <w:tcBorders>
              <w:top w:val="single" w:color="auto" w:sz="8" w:space="0"/>
            </w:tcBorders>
            <w:shd w:val="clear" w:color="auto" w:fill="auto"/>
            <w:vAlign w:val="center"/>
          </w:tcPr>
          <w:p w14:paraId="7DE7B114">
            <w:pPr>
              <w:pStyle w:val="178"/>
              <w:rPr>
                <w:rFonts w:hAnsi="宋体"/>
              </w:rPr>
            </w:pPr>
            <w:r>
              <w:rPr>
                <w:rFonts w:hint="eastAsia" w:hAnsi="宋体"/>
              </w:rPr>
              <w:t>感官指标</w:t>
            </w:r>
          </w:p>
        </w:tc>
        <w:tc>
          <w:tcPr>
            <w:tcW w:w="3734" w:type="dxa"/>
            <w:tcBorders>
              <w:top w:val="single" w:color="auto" w:sz="8" w:space="0"/>
            </w:tcBorders>
            <w:shd w:val="clear" w:color="auto" w:fill="auto"/>
            <w:vAlign w:val="center"/>
          </w:tcPr>
          <w:p w14:paraId="3B36029A">
            <w:pPr>
              <w:pStyle w:val="178"/>
              <w:jc w:val="left"/>
              <w:rPr>
                <w:rFonts w:hAnsi="宋体"/>
              </w:rPr>
            </w:pPr>
            <w:r>
              <w:rPr>
                <w:rFonts w:hint="eastAsia" w:hAnsi="宋体"/>
              </w:rPr>
              <w:t>外观</w:t>
            </w:r>
          </w:p>
        </w:tc>
        <w:tc>
          <w:tcPr>
            <w:tcW w:w="2126" w:type="dxa"/>
            <w:tcBorders>
              <w:top w:val="single" w:color="auto" w:sz="8" w:space="0"/>
            </w:tcBorders>
            <w:shd w:val="clear" w:color="auto" w:fill="auto"/>
            <w:vAlign w:val="center"/>
          </w:tcPr>
          <w:p w14:paraId="5B6FEB43">
            <w:pPr>
              <w:pStyle w:val="178"/>
              <w:rPr>
                <w:rFonts w:hAnsi="宋体"/>
              </w:rPr>
            </w:pPr>
            <w:r>
              <w:rPr>
                <w:rFonts w:hint="eastAsia" w:hAnsi="宋体"/>
              </w:rPr>
              <w:t>棕黄色透明液体</w:t>
            </w:r>
          </w:p>
        </w:tc>
        <w:tc>
          <w:tcPr>
            <w:tcW w:w="2160" w:type="dxa"/>
            <w:tcBorders>
              <w:top w:val="single" w:color="auto" w:sz="8" w:space="0"/>
            </w:tcBorders>
            <w:shd w:val="clear" w:color="auto" w:fill="auto"/>
            <w:vAlign w:val="center"/>
          </w:tcPr>
          <w:p w14:paraId="2D740AC0">
            <w:pPr>
              <w:pStyle w:val="178"/>
              <w:rPr>
                <w:rFonts w:hAnsi="宋体"/>
              </w:rPr>
            </w:pPr>
            <w:r>
              <w:rPr>
                <w:rFonts w:hint="eastAsia" w:hAnsi="宋体"/>
              </w:rPr>
              <w:t>棕黄色透明液体</w:t>
            </w:r>
          </w:p>
        </w:tc>
      </w:tr>
      <w:tr w14:paraId="6B53CB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218" w:type="dxa"/>
            <w:vMerge w:val="continue"/>
            <w:shd w:val="clear" w:color="auto" w:fill="auto"/>
            <w:vAlign w:val="center"/>
          </w:tcPr>
          <w:p w14:paraId="5CDA07A3">
            <w:pPr>
              <w:pStyle w:val="178"/>
              <w:rPr>
                <w:rFonts w:hAnsi="宋体"/>
              </w:rPr>
            </w:pPr>
          </w:p>
        </w:tc>
        <w:tc>
          <w:tcPr>
            <w:tcW w:w="3734" w:type="dxa"/>
            <w:shd w:val="clear" w:color="auto" w:fill="auto"/>
            <w:vAlign w:val="center"/>
          </w:tcPr>
          <w:p w14:paraId="76F9C544">
            <w:pPr>
              <w:pStyle w:val="178"/>
              <w:jc w:val="left"/>
              <w:rPr>
                <w:rFonts w:hAnsi="宋体"/>
              </w:rPr>
            </w:pPr>
            <w:r>
              <w:rPr>
                <w:rFonts w:hint="eastAsia" w:hAnsi="宋体"/>
              </w:rPr>
              <w:t>气味</w:t>
            </w:r>
          </w:p>
        </w:tc>
        <w:tc>
          <w:tcPr>
            <w:tcW w:w="2126" w:type="dxa"/>
            <w:shd w:val="clear" w:color="auto" w:fill="auto"/>
            <w:vAlign w:val="center"/>
          </w:tcPr>
          <w:p w14:paraId="4F475E5A">
            <w:pPr>
              <w:pStyle w:val="178"/>
              <w:rPr>
                <w:rFonts w:hAnsi="宋体"/>
              </w:rPr>
            </w:pPr>
            <w:bookmarkStart w:id="50" w:name="OLE_LINK6"/>
            <w:r>
              <w:rPr>
                <w:rFonts w:hint="eastAsia" w:hAnsi="宋体"/>
              </w:rPr>
              <w:t>有特征气味，无异味</w:t>
            </w:r>
            <w:bookmarkEnd w:id="50"/>
          </w:p>
        </w:tc>
        <w:tc>
          <w:tcPr>
            <w:tcW w:w="2160" w:type="dxa"/>
            <w:shd w:val="clear" w:color="auto" w:fill="auto"/>
            <w:vAlign w:val="center"/>
          </w:tcPr>
          <w:p w14:paraId="2512EF36">
            <w:pPr>
              <w:pStyle w:val="178"/>
              <w:rPr>
                <w:rFonts w:hAnsi="宋体"/>
              </w:rPr>
            </w:pPr>
            <w:r>
              <w:rPr>
                <w:rFonts w:hint="eastAsia" w:hAnsi="宋体"/>
              </w:rPr>
              <w:t>有特征气味，无异味</w:t>
            </w:r>
          </w:p>
        </w:tc>
      </w:tr>
      <w:tr w14:paraId="2159B8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1218" w:type="dxa"/>
            <w:vMerge w:val="restart"/>
            <w:shd w:val="clear" w:color="auto" w:fill="auto"/>
            <w:vAlign w:val="center"/>
          </w:tcPr>
          <w:p w14:paraId="391AAAF8">
            <w:pPr>
              <w:pStyle w:val="178"/>
              <w:rPr>
                <w:rFonts w:hAnsi="宋体"/>
              </w:rPr>
            </w:pPr>
            <w:r>
              <w:rPr>
                <w:rFonts w:hint="eastAsia" w:hAnsi="宋体"/>
              </w:rPr>
              <w:t>理化指标</w:t>
            </w:r>
          </w:p>
        </w:tc>
        <w:tc>
          <w:tcPr>
            <w:tcW w:w="3734" w:type="dxa"/>
            <w:shd w:val="clear" w:color="auto" w:fill="auto"/>
            <w:vAlign w:val="center"/>
          </w:tcPr>
          <w:p w14:paraId="33027103">
            <w:pPr>
              <w:pStyle w:val="178"/>
              <w:jc w:val="left"/>
              <w:rPr>
                <w:rFonts w:hAnsi="宋体"/>
              </w:rPr>
            </w:pPr>
            <w:r>
              <w:rPr>
                <w:rFonts w:hAnsi="宋体"/>
              </w:rPr>
              <w:t>总多酚</w:t>
            </w:r>
            <w:r>
              <w:rPr>
                <w:rFonts w:hint="eastAsia" w:hAnsi="宋体"/>
              </w:rPr>
              <w:t>/</w:t>
            </w:r>
            <w:r>
              <w:rPr>
                <w:rFonts w:hAnsi="宋体"/>
              </w:rPr>
              <w:t>（</w:t>
            </w:r>
            <w:r>
              <w:rPr>
                <w:rFonts w:hint="eastAsia" w:hAnsi="宋体"/>
              </w:rPr>
              <w:t>%）</w:t>
            </w:r>
          </w:p>
        </w:tc>
        <w:tc>
          <w:tcPr>
            <w:tcW w:w="2126" w:type="dxa"/>
            <w:shd w:val="clear" w:color="auto" w:fill="auto"/>
            <w:vAlign w:val="center"/>
          </w:tcPr>
          <w:p w14:paraId="13EC7891">
            <w:pPr>
              <w:pStyle w:val="178"/>
              <w:rPr>
                <w:rFonts w:hAnsi="宋体"/>
              </w:rPr>
            </w:pPr>
            <w:r>
              <w:rPr>
                <w:rFonts w:hint="eastAsia" w:hAnsi="宋体"/>
              </w:rPr>
              <w:t>≥</w:t>
            </w:r>
            <w:r>
              <w:rPr>
                <w:rFonts w:hAnsi="宋体"/>
              </w:rPr>
              <w:t>0.25</w:t>
            </w:r>
          </w:p>
        </w:tc>
        <w:tc>
          <w:tcPr>
            <w:tcW w:w="2160" w:type="dxa"/>
            <w:shd w:val="clear" w:color="auto" w:fill="auto"/>
            <w:vAlign w:val="center"/>
          </w:tcPr>
          <w:p w14:paraId="2936D531">
            <w:pPr>
              <w:pStyle w:val="178"/>
              <w:rPr>
                <w:rFonts w:hAnsi="宋体"/>
              </w:rPr>
            </w:pPr>
            <w:r>
              <w:rPr>
                <w:rFonts w:hint="eastAsia" w:hAnsi="宋体"/>
              </w:rPr>
              <w:t>≥</w:t>
            </w:r>
            <w:r>
              <w:rPr>
                <w:rFonts w:hAnsi="宋体"/>
              </w:rPr>
              <w:t>0.5</w:t>
            </w:r>
            <w:r>
              <w:rPr>
                <w:rFonts w:hint="eastAsia" w:hAnsi="宋体"/>
              </w:rPr>
              <w:t>0</w:t>
            </w:r>
          </w:p>
        </w:tc>
      </w:tr>
      <w:tr w14:paraId="16C12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218" w:type="dxa"/>
            <w:vMerge w:val="continue"/>
            <w:shd w:val="clear" w:color="auto" w:fill="auto"/>
            <w:vAlign w:val="center"/>
          </w:tcPr>
          <w:p w14:paraId="41576925">
            <w:pPr>
              <w:pStyle w:val="178"/>
              <w:rPr>
                <w:rFonts w:hAnsi="宋体"/>
              </w:rPr>
            </w:pPr>
          </w:p>
        </w:tc>
        <w:tc>
          <w:tcPr>
            <w:tcW w:w="3734" w:type="dxa"/>
            <w:shd w:val="clear" w:color="auto" w:fill="auto"/>
            <w:vAlign w:val="center"/>
          </w:tcPr>
          <w:p w14:paraId="6053EC09">
            <w:pPr>
              <w:pStyle w:val="178"/>
              <w:jc w:val="left"/>
              <w:rPr>
                <w:rFonts w:hAnsi="宋体"/>
              </w:rPr>
            </w:pPr>
            <w:r>
              <w:rPr>
                <w:rFonts w:hAnsi="宋体"/>
              </w:rPr>
              <w:t>总黄酮</w:t>
            </w:r>
            <w:r>
              <w:rPr>
                <w:rFonts w:hint="eastAsia" w:hAnsi="宋体"/>
              </w:rPr>
              <w:t>/</w:t>
            </w:r>
            <w:r>
              <w:rPr>
                <w:rFonts w:hAnsi="宋体"/>
              </w:rPr>
              <w:t>（</w:t>
            </w:r>
            <w:r>
              <w:rPr>
                <w:rFonts w:hint="eastAsia" w:hAnsi="宋体"/>
              </w:rPr>
              <w:t>%）</w:t>
            </w:r>
          </w:p>
        </w:tc>
        <w:tc>
          <w:tcPr>
            <w:tcW w:w="2126" w:type="dxa"/>
            <w:shd w:val="clear" w:color="auto" w:fill="auto"/>
            <w:vAlign w:val="center"/>
          </w:tcPr>
          <w:p w14:paraId="0C0164DF">
            <w:pPr>
              <w:pStyle w:val="178"/>
              <w:rPr>
                <w:rFonts w:hAnsi="宋体"/>
              </w:rPr>
            </w:pPr>
            <w:r>
              <w:rPr>
                <w:rFonts w:hint="eastAsia" w:hAnsi="宋体"/>
              </w:rPr>
              <w:t>≥3.00</w:t>
            </w:r>
          </w:p>
        </w:tc>
        <w:tc>
          <w:tcPr>
            <w:tcW w:w="2160" w:type="dxa"/>
            <w:shd w:val="clear" w:color="auto" w:fill="auto"/>
            <w:vAlign w:val="center"/>
          </w:tcPr>
          <w:p w14:paraId="768ECC21">
            <w:pPr>
              <w:pStyle w:val="178"/>
              <w:rPr>
                <w:rFonts w:hAnsi="宋体"/>
              </w:rPr>
            </w:pPr>
            <w:r>
              <w:rPr>
                <w:rFonts w:hint="eastAsia" w:hAnsi="宋体"/>
              </w:rPr>
              <w:t>≥5.00</w:t>
            </w:r>
          </w:p>
        </w:tc>
      </w:tr>
      <w:tr w14:paraId="0D911A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0" w:hRule="atLeast"/>
          <w:jc w:val="center"/>
        </w:trPr>
        <w:tc>
          <w:tcPr>
            <w:tcW w:w="1218" w:type="dxa"/>
            <w:vMerge w:val="continue"/>
            <w:shd w:val="clear" w:color="auto" w:fill="auto"/>
            <w:vAlign w:val="center"/>
          </w:tcPr>
          <w:p w14:paraId="2FA0ACAF">
            <w:pPr>
              <w:pStyle w:val="178"/>
              <w:rPr>
                <w:rFonts w:hAnsi="宋体"/>
              </w:rPr>
            </w:pPr>
          </w:p>
        </w:tc>
        <w:tc>
          <w:tcPr>
            <w:tcW w:w="3734" w:type="dxa"/>
            <w:shd w:val="clear" w:color="auto" w:fill="auto"/>
            <w:vAlign w:val="center"/>
          </w:tcPr>
          <w:p w14:paraId="2ECAB81F">
            <w:pPr>
              <w:pStyle w:val="178"/>
              <w:jc w:val="left"/>
              <w:rPr>
                <w:rFonts w:hAnsi="宋体"/>
              </w:rPr>
            </w:pPr>
            <w:r>
              <w:rPr>
                <w:rFonts w:hint="eastAsia" w:hAnsi="宋体"/>
              </w:rPr>
              <w:t>总多糖/</w:t>
            </w:r>
            <w:r>
              <w:rPr>
                <w:rFonts w:hAnsi="宋体"/>
              </w:rPr>
              <w:t>（</w:t>
            </w:r>
            <w:r>
              <w:rPr>
                <w:rFonts w:hint="eastAsia" w:hAnsi="宋体"/>
              </w:rPr>
              <w:t>%）</w:t>
            </w:r>
          </w:p>
        </w:tc>
        <w:tc>
          <w:tcPr>
            <w:tcW w:w="2126" w:type="dxa"/>
            <w:shd w:val="clear" w:color="auto" w:fill="auto"/>
            <w:vAlign w:val="center"/>
          </w:tcPr>
          <w:p w14:paraId="3BFFC8D0">
            <w:pPr>
              <w:pStyle w:val="178"/>
              <w:rPr>
                <w:rFonts w:hAnsi="宋体"/>
              </w:rPr>
            </w:pPr>
            <w:r>
              <w:rPr>
                <w:rFonts w:hint="eastAsia" w:hAnsi="宋体"/>
              </w:rPr>
              <w:t>≥0.15</w:t>
            </w:r>
          </w:p>
        </w:tc>
        <w:tc>
          <w:tcPr>
            <w:tcW w:w="2160" w:type="dxa"/>
            <w:shd w:val="clear" w:color="auto" w:fill="auto"/>
            <w:vAlign w:val="center"/>
          </w:tcPr>
          <w:p w14:paraId="0EF0DA69">
            <w:pPr>
              <w:pStyle w:val="178"/>
              <w:rPr>
                <w:rFonts w:hAnsi="宋体"/>
              </w:rPr>
            </w:pPr>
            <w:r>
              <w:rPr>
                <w:rFonts w:hint="eastAsia" w:hAnsi="宋体"/>
              </w:rPr>
              <w:t>≥0.30</w:t>
            </w:r>
          </w:p>
        </w:tc>
      </w:tr>
      <w:tr w14:paraId="7148B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1218" w:type="dxa"/>
            <w:vMerge w:val="restart"/>
            <w:shd w:val="clear" w:color="auto" w:fill="auto"/>
            <w:vAlign w:val="center"/>
          </w:tcPr>
          <w:p w14:paraId="20B773D1">
            <w:pPr>
              <w:pStyle w:val="178"/>
              <w:rPr>
                <w:rFonts w:hAnsi="宋体"/>
              </w:rPr>
            </w:pPr>
            <w:r>
              <w:rPr>
                <w:rFonts w:hint="eastAsia" w:hAnsi="宋体"/>
              </w:rPr>
              <w:t>重金属指标</w:t>
            </w:r>
          </w:p>
        </w:tc>
        <w:tc>
          <w:tcPr>
            <w:tcW w:w="3734" w:type="dxa"/>
            <w:shd w:val="clear" w:color="auto" w:fill="auto"/>
          </w:tcPr>
          <w:p w14:paraId="4491236A">
            <w:pPr>
              <w:pStyle w:val="178"/>
              <w:jc w:val="left"/>
              <w:rPr>
                <w:rFonts w:hAnsi="宋体"/>
              </w:rPr>
            </w:pPr>
            <w:r>
              <w:rPr>
                <w:rFonts w:hint="eastAsia" w:hAnsi="宋体"/>
              </w:rPr>
              <w:t>铅（Pb）/（mg/kg）</w:t>
            </w:r>
          </w:p>
        </w:tc>
        <w:tc>
          <w:tcPr>
            <w:tcW w:w="2126" w:type="dxa"/>
            <w:shd w:val="clear" w:color="auto" w:fill="auto"/>
          </w:tcPr>
          <w:p w14:paraId="30E54C80">
            <w:pPr>
              <w:pStyle w:val="178"/>
              <w:rPr>
                <w:rFonts w:hAnsi="宋体"/>
              </w:rPr>
            </w:pPr>
            <w:r>
              <w:rPr>
                <w:rFonts w:hint="eastAsia" w:hAnsi="宋体"/>
              </w:rPr>
              <w:t>≤10</w:t>
            </w:r>
          </w:p>
        </w:tc>
        <w:tc>
          <w:tcPr>
            <w:tcW w:w="2160" w:type="dxa"/>
            <w:shd w:val="clear" w:color="auto" w:fill="auto"/>
          </w:tcPr>
          <w:p w14:paraId="28C36B16">
            <w:pPr>
              <w:pStyle w:val="178"/>
              <w:rPr>
                <w:rFonts w:hAnsi="宋体"/>
              </w:rPr>
            </w:pPr>
            <w:r>
              <w:rPr>
                <w:rFonts w:hint="eastAsia" w:hAnsi="宋体"/>
              </w:rPr>
              <w:t>≤10</w:t>
            </w:r>
          </w:p>
        </w:tc>
      </w:tr>
      <w:tr w14:paraId="440BA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continue"/>
            <w:shd w:val="clear" w:color="auto" w:fill="auto"/>
            <w:vAlign w:val="center"/>
          </w:tcPr>
          <w:p w14:paraId="085D7DEA">
            <w:pPr>
              <w:pStyle w:val="178"/>
              <w:rPr>
                <w:rFonts w:hAnsi="宋体"/>
              </w:rPr>
            </w:pPr>
          </w:p>
        </w:tc>
        <w:tc>
          <w:tcPr>
            <w:tcW w:w="3734" w:type="dxa"/>
            <w:shd w:val="clear" w:color="auto" w:fill="auto"/>
          </w:tcPr>
          <w:p w14:paraId="1943AC12">
            <w:pPr>
              <w:pStyle w:val="178"/>
              <w:jc w:val="left"/>
              <w:rPr>
                <w:rFonts w:hAnsi="宋体"/>
              </w:rPr>
            </w:pPr>
            <w:r>
              <w:rPr>
                <w:rFonts w:hint="eastAsia" w:hAnsi="宋体"/>
              </w:rPr>
              <w:t>砷（As）/（mg/kg）</w:t>
            </w:r>
          </w:p>
        </w:tc>
        <w:tc>
          <w:tcPr>
            <w:tcW w:w="2126" w:type="dxa"/>
            <w:shd w:val="clear" w:color="auto" w:fill="auto"/>
          </w:tcPr>
          <w:p w14:paraId="4A5E9BBF">
            <w:pPr>
              <w:pStyle w:val="178"/>
              <w:rPr>
                <w:rFonts w:hAnsi="宋体"/>
              </w:rPr>
            </w:pPr>
            <w:r>
              <w:rPr>
                <w:rFonts w:hint="eastAsia" w:hAnsi="宋体"/>
              </w:rPr>
              <w:t>≤2</w:t>
            </w:r>
          </w:p>
        </w:tc>
        <w:tc>
          <w:tcPr>
            <w:tcW w:w="2160" w:type="dxa"/>
            <w:shd w:val="clear" w:color="auto" w:fill="auto"/>
          </w:tcPr>
          <w:p w14:paraId="4EF038F5">
            <w:pPr>
              <w:pStyle w:val="178"/>
              <w:rPr>
                <w:rFonts w:hAnsi="宋体"/>
              </w:rPr>
            </w:pPr>
            <w:r>
              <w:rPr>
                <w:rFonts w:hint="eastAsia" w:hAnsi="宋体"/>
              </w:rPr>
              <w:t>≤2</w:t>
            </w:r>
          </w:p>
        </w:tc>
      </w:tr>
      <w:tr w14:paraId="7FF0F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1218" w:type="dxa"/>
            <w:vMerge w:val="continue"/>
            <w:shd w:val="clear" w:color="auto" w:fill="auto"/>
            <w:vAlign w:val="center"/>
          </w:tcPr>
          <w:p w14:paraId="50887C12">
            <w:pPr>
              <w:pStyle w:val="178"/>
              <w:rPr>
                <w:rFonts w:hAnsi="宋体"/>
              </w:rPr>
            </w:pPr>
          </w:p>
        </w:tc>
        <w:tc>
          <w:tcPr>
            <w:tcW w:w="3734" w:type="dxa"/>
            <w:shd w:val="clear" w:color="auto" w:fill="auto"/>
          </w:tcPr>
          <w:p w14:paraId="526B90C4">
            <w:pPr>
              <w:pStyle w:val="178"/>
              <w:jc w:val="left"/>
              <w:rPr>
                <w:rFonts w:hAnsi="宋体"/>
              </w:rPr>
            </w:pPr>
            <w:r>
              <w:rPr>
                <w:rFonts w:hint="eastAsia" w:hAnsi="宋体"/>
              </w:rPr>
              <w:t>汞（Hg）/（mg/kg）</w:t>
            </w:r>
          </w:p>
        </w:tc>
        <w:tc>
          <w:tcPr>
            <w:tcW w:w="2126" w:type="dxa"/>
            <w:shd w:val="clear" w:color="auto" w:fill="auto"/>
          </w:tcPr>
          <w:p w14:paraId="6B10A59E">
            <w:pPr>
              <w:pStyle w:val="178"/>
              <w:rPr>
                <w:rFonts w:hAnsi="宋体"/>
              </w:rPr>
            </w:pPr>
            <w:r>
              <w:rPr>
                <w:rFonts w:hint="eastAsia" w:hAnsi="宋体"/>
              </w:rPr>
              <w:t>≤1</w:t>
            </w:r>
          </w:p>
        </w:tc>
        <w:tc>
          <w:tcPr>
            <w:tcW w:w="2160" w:type="dxa"/>
            <w:shd w:val="clear" w:color="auto" w:fill="auto"/>
          </w:tcPr>
          <w:p w14:paraId="1ED844BB">
            <w:pPr>
              <w:pStyle w:val="178"/>
              <w:rPr>
                <w:rFonts w:hAnsi="宋体"/>
              </w:rPr>
            </w:pPr>
            <w:r>
              <w:rPr>
                <w:rFonts w:hint="eastAsia" w:hAnsi="宋体"/>
              </w:rPr>
              <w:t>≤1</w:t>
            </w:r>
          </w:p>
        </w:tc>
      </w:tr>
      <w:tr w14:paraId="5C00A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restart"/>
            <w:shd w:val="clear" w:color="auto" w:fill="auto"/>
            <w:vAlign w:val="center"/>
          </w:tcPr>
          <w:p w14:paraId="708046FB">
            <w:pPr>
              <w:pStyle w:val="178"/>
              <w:rPr>
                <w:rFonts w:hAnsi="宋体"/>
              </w:rPr>
            </w:pPr>
            <w:r>
              <w:rPr>
                <w:rFonts w:hAnsi="宋体"/>
              </w:rPr>
              <w:t>微生物指标</w:t>
            </w:r>
          </w:p>
        </w:tc>
        <w:tc>
          <w:tcPr>
            <w:tcW w:w="3734" w:type="dxa"/>
            <w:shd w:val="clear" w:color="auto" w:fill="auto"/>
          </w:tcPr>
          <w:p w14:paraId="4ABCC595">
            <w:pPr>
              <w:pStyle w:val="178"/>
              <w:jc w:val="left"/>
              <w:rPr>
                <w:rFonts w:hAnsi="宋体"/>
              </w:rPr>
            </w:pPr>
            <w:r>
              <w:rPr>
                <w:rFonts w:hint="eastAsia" w:hAnsi="宋体"/>
              </w:rPr>
              <w:t>菌落总数/（CFU/g或CFU/mL）</w:t>
            </w:r>
          </w:p>
        </w:tc>
        <w:tc>
          <w:tcPr>
            <w:tcW w:w="2126" w:type="dxa"/>
            <w:shd w:val="clear" w:color="auto" w:fill="auto"/>
          </w:tcPr>
          <w:p w14:paraId="0F20C254">
            <w:pPr>
              <w:pStyle w:val="178"/>
              <w:rPr>
                <w:rFonts w:hAnsi="宋体"/>
              </w:rPr>
            </w:pPr>
            <w:r>
              <w:rPr>
                <w:rFonts w:hint="eastAsia" w:hAnsi="宋体"/>
              </w:rPr>
              <w:t>≤100</w:t>
            </w:r>
          </w:p>
        </w:tc>
        <w:tc>
          <w:tcPr>
            <w:tcW w:w="2160" w:type="dxa"/>
            <w:shd w:val="clear" w:color="auto" w:fill="auto"/>
          </w:tcPr>
          <w:p w14:paraId="39E0F9D8">
            <w:pPr>
              <w:pStyle w:val="178"/>
              <w:rPr>
                <w:rFonts w:hAnsi="宋体"/>
              </w:rPr>
            </w:pPr>
            <w:r>
              <w:rPr>
                <w:rFonts w:hint="eastAsia" w:hAnsi="宋体"/>
              </w:rPr>
              <w:t>≤100</w:t>
            </w:r>
          </w:p>
        </w:tc>
      </w:tr>
      <w:tr w14:paraId="6311C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continue"/>
            <w:shd w:val="clear" w:color="auto" w:fill="auto"/>
            <w:vAlign w:val="center"/>
          </w:tcPr>
          <w:p w14:paraId="4BA6F448">
            <w:pPr>
              <w:pStyle w:val="178"/>
              <w:rPr>
                <w:rFonts w:hAnsi="宋体"/>
              </w:rPr>
            </w:pPr>
          </w:p>
        </w:tc>
        <w:tc>
          <w:tcPr>
            <w:tcW w:w="3734" w:type="dxa"/>
            <w:shd w:val="clear" w:color="auto" w:fill="auto"/>
          </w:tcPr>
          <w:p w14:paraId="1E79AAAD">
            <w:pPr>
              <w:pStyle w:val="178"/>
              <w:jc w:val="left"/>
              <w:rPr>
                <w:rFonts w:hAnsi="宋体"/>
              </w:rPr>
            </w:pPr>
            <w:r>
              <w:rPr>
                <w:rFonts w:hint="eastAsia" w:hAnsi="宋体"/>
              </w:rPr>
              <w:t>霉菌和酵母菌总数/（CFU/g或CFU/mL）</w:t>
            </w:r>
          </w:p>
        </w:tc>
        <w:tc>
          <w:tcPr>
            <w:tcW w:w="2126" w:type="dxa"/>
            <w:shd w:val="clear" w:color="auto" w:fill="auto"/>
          </w:tcPr>
          <w:p w14:paraId="2B4CA71D">
            <w:pPr>
              <w:pStyle w:val="178"/>
              <w:rPr>
                <w:rFonts w:hAnsi="宋体"/>
              </w:rPr>
            </w:pPr>
            <w:r>
              <w:rPr>
                <w:rFonts w:hint="eastAsia" w:hAnsi="宋体"/>
              </w:rPr>
              <w:t>≤100</w:t>
            </w:r>
          </w:p>
        </w:tc>
        <w:tc>
          <w:tcPr>
            <w:tcW w:w="2160" w:type="dxa"/>
            <w:shd w:val="clear" w:color="auto" w:fill="auto"/>
          </w:tcPr>
          <w:p w14:paraId="6D497D31">
            <w:pPr>
              <w:pStyle w:val="178"/>
              <w:rPr>
                <w:rFonts w:hAnsi="宋体"/>
              </w:rPr>
            </w:pPr>
            <w:r>
              <w:rPr>
                <w:rFonts w:hint="eastAsia" w:hAnsi="宋体"/>
              </w:rPr>
              <w:t>≤100</w:t>
            </w:r>
          </w:p>
        </w:tc>
      </w:tr>
      <w:tr w14:paraId="08CA7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continue"/>
            <w:shd w:val="clear" w:color="auto" w:fill="auto"/>
            <w:vAlign w:val="center"/>
          </w:tcPr>
          <w:p w14:paraId="26F1131E">
            <w:pPr>
              <w:pStyle w:val="178"/>
              <w:rPr>
                <w:rFonts w:hAnsi="宋体"/>
              </w:rPr>
            </w:pPr>
          </w:p>
        </w:tc>
        <w:tc>
          <w:tcPr>
            <w:tcW w:w="3734" w:type="dxa"/>
            <w:shd w:val="clear" w:color="auto" w:fill="auto"/>
          </w:tcPr>
          <w:p w14:paraId="39559EF6">
            <w:pPr>
              <w:pStyle w:val="178"/>
              <w:jc w:val="left"/>
              <w:rPr>
                <w:rFonts w:hAnsi="宋体"/>
              </w:rPr>
            </w:pPr>
            <w:r>
              <w:rPr>
                <w:rFonts w:hint="eastAsia" w:hAnsi="宋体"/>
                <w:lang w:eastAsia="zh-CN"/>
              </w:rPr>
              <w:t>粪</w:t>
            </w:r>
            <w:r>
              <w:rPr>
                <w:rFonts w:hint="eastAsia" w:hAnsi="宋体"/>
              </w:rPr>
              <w:t>大肠菌群/g（或mL）</w:t>
            </w:r>
          </w:p>
        </w:tc>
        <w:tc>
          <w:tcPr>
            <w:tcW w:w="2126" w:type="dxa"/>
            <w:shd w:val="clear" w:color="auto" w:fill="auto"/>
          </w:tcPr>
          <w:p w14:paraId="2E134BFC">
            <w:pPr>
              <w:pStyle w:val="178"/>
              <w:rPr>
                <w:rFonts w:hAnsi="宋体"/>
              </w:rPr>
            </w:pPr>
            <w:r>
              <w:rPr>
                <w:rFonts w:hint="eastAsia" w:hAnsi="宋体"/>
              </w:rPr>
              <w:t>不得检出</w:t>
            </w:r>
          </w:p>
        </w:tc>
        <w:tc>
          <w:tcPr>
            <w:tcW w:w="2160" w:type="dxa"/>
            <w:shd w:val="clear" w:color="auto" w:fill="auto"/>
          </w:tcPr>
          <w:p w14:paraId="6F487D71">
            <w:pPr>
              <w:pStyle w:val="178"/>
              <w:rPr>
                <w:rFonts w:hAnsi="宋体"/>
              </w:rPr>
            </w:pPr>
            <w:r>
              <w:rPr>
                <w:rFonts w:hint="eastAsia" w:hAnsi="宋体"/>
              </w:rPr>
              <w:t>不得检出</w:t>
            </w:r>
          </w:p>
        </w:tc>
      </w:tr>
      <w:tr w14:paraId="7513D9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continue"/>
            <w:shd w:val="clear" w:color="auto" w:fill="auto"/>
            <w:vAlign w:val="center"/>
          </w:tcPr>
          <w:p w14:paraId="5D09DBDB">
            <w:pPr>
              <w:pStyle w:val="178"/>
              <w:rPr>
                <w:rFonts w:hAnsi="宋体"/>
              </w:rPr>
            </w:pPr>
          </w:p>
        </w:tc>
        <w:tc>
          <w:tcPr>
            <w:tcW w:w="3734" w:type="dxa"/>
            <w:shd w:val="clear" w:color="auto" w:fill="auto"/>
          </w:tcPr>
          <w:p w14:paraId="268F504A">
            <w:pPr>
              <w:pStyle w:val="178"/>
              <w:jc w:val="left"/>
              <w:rPr>
                <w:rFonts w:hAnsi="宋体"/>
              </w:rPr>
            </w:pPr>
            <w:r>
              <w:rPr>
                <w:rFonts w:hint="eastAsia" w:hAnsi="宋体"/>
              </w:rPr>
              <w:t>金黄色葡萄球菌/g（或mL）</w:t>
            </w:r>
          </w:p>
        </w:tc>
        <w:tc>
          <w:tcPr>
            <w:tcW w:w="2126" w:type="dxa"/>
            <w:shd w:val="clear" w:color="auto" w:fill="auto"/>
          </w:tcPr>
          <w:p w14:paraId="08D7E33D">
            <w:pPr>
              <w:pStyle w:val="178"/>
              <w:rPr>
                <w:rFonts w:hAnsi="宋体"/>
              </w:rPr>
            </w:pPr>
            <w:r>
              <w:rPr>
                <w:rFonts w:hint="eastAsia" w:hAnsi="宋体"/>
              </w:rPr>
              <w:t>不得检出</w:t>
            </w:r>
          </w:p>
        </w:tc>
        <w:tc>
          <w:tcPr>
            <w:tcW w:w="2160" w:type="dxa"/>
            <w:shd w:val="clear" w:color="auto" w:fill="auto"/>
          </w:tcPr>
          <w:p w14:paraId="1CCE56EC">
            <w:pPr>
              <w:pStyle w:val="178"/>
              <w:rPr>
                <w:rFonts w:hAnsi="宋体"/>
              </w:rPr>
            </w:pPr>
            <w:r>
              <w:rPr>
                <w:rFonts w:hint="eastAsia" w:hAnsi="宋体"/>
              </w:rPr>
              <w:t>不得检出</w:t>
            </w:r>
          </w:p>
        </w:tc>
      </w:tr>
      <w:tr w14:paraId="748D6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9" w:hRule="atLeast"/>
          <w:jc w:val="center"/>
        </w:trPr>
        <w:tc>
          <w:tcPr>
            <w:tcW w:w="1218" w:type="dxa"/>
            <w:vMerge w:val="continue"/>
            <w:shd w:val="clear" w:color="auto" w:fill="auto"/>
            <w:vAlign w:val="center"/>
          </w:tcPr>
          <w:p w14:paraId="6C40EC2E">
            <w:pPr>
              <w:pStyle w:val="178"/>
              <w:rPr>
                <w:rFonts w:hAnsi="宋体"/>
              </w:rPr>
            </w:pPr>
          </w:p>
        </w:tc>
        <w:tc>
          <w:tcPr>
            <w:tcW w:w="3734" w:type="dxa"/>
            <w:shd w:val="clear" w:color="auto" w:fill="auto"/>
          </w:tcPr>
          <w:p w14:paraId="510F8B47">
            <w:pPr>
              <w:pStyle w:val="178"/>
              <w:jc w:val="left"/>
              <w:rPr>
                <w:rFonts w:hAnsi="宋体"/>
              </w:rPr>
            </w:pPr>
            <w:r>
              <w:rPr>
                <w:rFonts w:hint="eastAsia" w:hAnsi="宋体"/>
                <w:lang w:eastAsia="zh-CN"/>
              </w:rPr>
              <w:t>绿脓杆</w:t>
            </w:r>
            <w:bookmarkStart w:id="62" w:name="_GoBack"/>
            <w:bookmarkEnd w:id="62"/>
            <w:r>
              <w:rPr>
                <w:rFonts w:hint="eastAsia" w:hAnsi="宋体"/>
              </w:rPr>
              <w:t>菌/g（或mL）</w:t>
            </w:r>
          </w:p>
        </w:tc>
        <w:tc>
          <w:tcPr>
            <w:tcW w:w="2126" w:type="dxa"/>
            <w:shd w:val="clear" w:color="auto" w:fill="auto"/>
          </w:tcPr>
          <w:p w14:paraId="2103C6EE">
            <w:pPr>
              <w:pStyle w:val="178"/>
              <w:rPr>
                <w:rFonts w:hAnsi="宋体"/>
              </w:rPr>
            </w:pPr>
            <w:r>
              <w:rPr>
                <w:rFonts w:hint="eastAsia" w:hAnsi="宋体"/>
              </w:rPr>
              <w:t>不得检出</w:t>
            </w:r>
          </w:p>
        </w:tc>
        <w:tc>
          <w:tcPr>
            <w:tcW w:w="2160" w:type="dxa"/>
            <w:shd w:val="clear" w:color="auto" w:fill="auto"/>
          </w:tcPr>
          <w:p w14:paraId="658354C0">
            <w:pPr>
              <w:pStyle w:val="178"/>
              <w:rPr>
                <w:rFonts w:hAnsi="宋体"/>
              </w:rPr>
            </w:pPr>
            <w:r>
              <w:rPr>
                <w:rFonts w:hint="eastAsia" w:hAnsi="宋体"/>
              </w:rPr>
              <w:t>不得检出</w:t>
            </w:r>
          </w:p>
        </w:tc>
      </w:tr>
    </w:tbl>
    <w:p w14:paraId="7505575F">
      <w:pPr>
        <w:pStyle w:val="65"/>
        <w:spacing w:beforeLines="100" w:after="120"/>
        <w:rPr>
          <w:rFonts w:ascii="Times New Roman"/>
        </w:rPr>
      </w:pPr>
      <w:r>
        <w:rPr>
          <w:rFonts w:ascii="Times New Roman"/>
        </w:rPr>
        <w:t>风险物质要求</w:t>
      </w:r>
    </w:p>
    <w:p w14:paraId="1B12B41F">
      <w:pPr>
        <w:pStyle w:val="56"/>
        <w:ind w:firstLine="420"/>
        <w:rPr>
          <w:snapToGrid w:val="0"/>
        </w:rPr>
      </w:pPr>
      <w:r>
        <w:rPr>
          <w:snapToGrid w:val="0"/>
        </w:rPr>
        <w:t>农药残留、</w:t>
      </w:r>
      <w:r>
        <w:rPr>
          <w:rFonts w:hint="eastAsia"/>
          <w:snapToGrid w:val="0"/>
        </w:rPr>
        <w:t>甲醇</w:t>
      </w:r>
      <w:r>
        <w:rPr>
          <w:snapToGrid w:val="0"/>
        </w:rPr>
        <w:t>残留等污染物限量要求，应符合化妆品相关国家标准规定。</w:t>
      </w:r>
    </w:p>
    <w:p w14:paraId="6F15AE3C">
      <w:pPr>
        <w:pStyle w:val="104"/>
        <w:spacing w:before="240" w:after="240"/>
        <w:rPr>
          <w:rFonts w:ascii="Times New Roman"/>
        </w:rPr>
      </w:pPr>
      <w:r>
        <w:rPr>
          <w:rFonts w:hint="eastAsia" w:ascii="Times New Roman"/>
        </w:rPr>
        <w:t>检测方法</w:t>
      </w:r>
    </w:p>
    <w:p w14:paraId="31729447">
      <w:pPr>
        <w:pStyle w:val="105"/>
        <w:spacing w:before="120" w:after="120"/>
        <w:rPr>
          <w:rFonts w:ascii="Times New Roman"/>
        </w:rPr>
      </w:pPr>
      <w:r>
        <w:rPr>
          <w:rFonts w:hint="eastAsia" w:ascii="Times New Roman"/>
        </w:rPr>
        <w:t>试剂和材料</w:t>
      </w:r>
    </w:p>
    <w:p w14:paraId="790A660F">
      <w:pPr>
        <w:pStyle w:val="56"/>
        <w:ind w:firstLine="420"/>
      </w:pPr>
      <w:r>
        <w:t>本</w:t>
      </w:r>
      <w:r>
        <w:rPr>
          <w:rFonts w:hint="eastAsia"/>
        </w:rPr>
        <w:t>文件</w:t>
      </w:r>
      <w:r>
        <w:t>所用试剂和水，在没有注明其他要求时，均指分析纯试剂和GB/T 6682规定的三级水。实验中所用标准溶液、杂质标准溶液、制剂及制品，均按《中华人民共和国药典》</w:t>
      </w:r>
      <w:r>
        <w:rPr>
          <w:rFonts w:hint="eastAsia"/>
        </w:rPr>
        <w:t>（2025年版）</w:t>
      </w:r>
      <w:r>
        <w:t>四部的规定制备。《中华人民共和国药典》</w:t>
      </w:r>
      <w:r>
        <w:rPr>
          <w:rFonts w:hint="eastAsia"/>
        </w:rPr>
        <w:t>（2025年版）</w:t>
      </w:r>
      <w:r>
        <w:t>四部方法外的试剂配制方法按照GB/T</w:t>
      </w:r>
      <w:r>
        <w:rPr>
          <w:rFonts w:hint="eastAsia"/>
        </w:rPr>
        <w:t xml:space="preserve"> </w:t>
      </w:r>
      <w:r>
        <w:t>601、GB/T</w:t>
      </w:r>
      <w:r>
        <w:rPr>
          <w:rFonts w:hint="eastAsia"/>
        </w:rPr>
        <w:t xml:space="preserve"> </w:t>
      </w:r>
      <w:r>
        <w:t>602、</w:t>
      </w:r>
    </w:p>
    <w:p w14:paraId="4B2264F4">
      <w:pPr>
        <w:pStyle w:val="56"/>
        <w:ind w:firstLine="0" w:firstLineChars="0"/>
      </w:pPr>
      <w:r>
        <w:t>GB/T</w:t>
      </w:r>
      <w:r>
        <w:rPr>
          <w:rFonts w:hint="eastAsia"/>
        </w:rPr>
        <w:t xml:space="preserve"> </w:t>
      </w:r>
      <w:r>
        <w:t>603方法配置标定</w:t>
      </w:r>
      <w:r>
        <w:rPr>
          <w:rFonts w:hint="eastAsia"/>
        </w:rPr>
        <w:t>。</w:t>
      </w:r>
    </w:p>
    <w:p w14:paraId="3D50B108">
      <w:pPr>
        <w:pStyle w:val="105"/>
        <w:spacing w:before="120" w:after="120"/>
        <w:rPr>
          <w:rFonts w:ascii="Times New Roman"/>
        </w:rPr>
      </w:pPr>
      <w:r>
        <w:rPr>
          <w:rFonts w:hint="eastAsia" w:ascii="Times New Roman"/>
        </w:rPr>
        <w:t>外观</w:t>
      </w:r>
    </w:p>
    <w:p w14:paraId="3E2083E0">
      <w:pPr>
        <w:pStyle w:val="56"/>
        <w:ind w:firstLine="420"/>
      </w:pPr>
      <w:r>
        <w:t>在非直射阳光条件下，取样品</w:t>
      </w:r>
      <w:r>
        <w:rPr>
          <w:rFonts w:hint="eastAsia"/>
        </w:rPr>
        <w:t>于</w:t>
      </w:r>
      <w:r>
        <w:t>比色管中进行目测</w:t>
      </w:r>
      <w:r>
        <w:rPr>
          <w:rFonts w:hint="eastAsia"/>
        </w:rPr>
        <w:t>。</w:t>
      </w:r>
    </w:p>
    <w:p w14:paraId="60C6D421">
      <w:pPr>
        <w:pStyle w:val="105"/>
        <w:spacing w:before="120" w:after="120"/>
        <w:rPr>
          <w:rFonts w:ascii="Times New Roman"/>
        </w:rPr>
      </w:pPr>
      <w:r>
        <w:rPr>
          <w:rFonts w:hint="eastAsia" w:ascii="Times New Roman"/>
        </w:rPr>
        <w:t>气味</w:t>
      </w:r>
    </w:p>
    <w:p w14:paraId="34EC9E5F">
      <w:pPr>
        <w:pStyle w:val="165"/>
        <w:rPr>
          <w:rFonts w:ascii="Times New Roman"/>
        </w:rPr>
      </w:pPr>
      <w:r>
        <w:rPr>
          <w:rFonts w:hint="eastAsia" w:ascii="Times New Roman"/>
        </w:rPr>
        <w:t>试剂与仪器：</w:t>
      </w:r>
    </w:p>
    <w:p w14:paraId="7E46BE4C">
      <w:pPr>
        <w:pStyle w:val="174"/>
        <w:numPr>
          <w:ilvl w:val="0"/>
          <w:numId w:val="32"/>
        </w:numPr>
      </w:pPr>
      <w:r>
        <w:t>评香试条</w:t>
      </w:r>
      <w:r>
        <w:rPr>
          <w:rFonts w:hint="eastAsia"/>
        </w:rPr>
        <w:t>；</w:t>
      </w:r>
    </w:p>
    <w:p w14:paraId="2336A418">
      <w:pPr>
        <w:pStyle w:val="174"/>
        <w:rPr>
          <w:rFonts w:ascii="Times New Roman"/>
        </w:rPr>
      </w:pPr>
      <w:r>
        <w:rPr>
          <w:rFonts w:ascii="Times New Roman"/>
        </w:rPr>
        <w:t>敞口烧杯</w:t>
      </w:r>
      <w:r>
        <w:rPr>
          <w:rFonts w:hint="eastAsia" w:ascii="Times New Roman"/>
        </w:rPr>
        <w:t>；</w:t>
      </w:r>
    </w:p>
    <w:p w14:paraId="2A43D759">
      <w:pPr>
        <w:pStyle w:val="174"/>
        <w:ind w:left="0" w:firstLine="420" w:firstLineChars="200"/>
        <w:rPr>
          <w:rFonts w:ascii="Times New Roman"/>
        </w:rPr>
      </w:pPr>
      <w:r>
        <w:rPr>
          <w:rFonts w:ascii="Times New Roman"/>
        </w:rPr>
        <w:t>金花茶提取物标准品：每种产品都应有独自的标准品，</w:t>
      </w:r>
      <w:bookmarkStart w:id="51" w:name="OLE_LINK7"/>
      <w:r>
        <w:rPr>
          <w:rFonts w:ascii="Times New Roman"/>
        </w:rPr>
        <w:t>标准品</w:t>
      </w:r>
      <w:bookmarkEnd w:id="51"/>
      <w:r>
        <w:rPr>
          <w:rFonts w:ascii="Times New Roman"/>
        </w:rPr>
        <w:t>从以前生产的、并经过产品安全部门接受的产品中取样</w:t>
      </w:r>
      <w:r>
        <w:rPr>
          <w:rFonts w:hint="eastAsia" w:ascii="Times New Roman"/>
        </w:rPr>
        <w:t>。</w:t>
      </w:r>
    </w:p>
    <w:p w14:paraId="19FCD715">
      <w:pPr>
        <w:pStyle w:val="65"/>
        <w:spacing w:before="120" w:after="120"/>
        <w:rPr>
          <w:rFonts w:ascii="Times New Roman"/>
        </w:rPr>
      </w:pPr>
      <w:r>
        <w:rPr>
          <w:rFonts w:hint="eastAsia" w:ascii="Times New Roman"/>
        </w:rPr>
        <w:t>测定步骤</w:t>
      </w:r>
    </w:p>
    <w:p w14:paraId="016D8166">
      <w:pPr>
        <w:pStyle w:val="56"/>
        <w:ind w:firstLine="420"/>
      </w:pPr>
      <w:r>
        <w:t>评估小组一般由2</w:t>
      </w:r>
      <w:r>
        <w:rPr>
          <w:rFonts w:hint="eastAsia"/>
        </w:rPr>
        <w:t>～</w:t>
      </w:r>
      <w:r>
        <w:t>3人组成。评估小组用评香试条在样品容器中沾取待测产品，通过与金花茶提取物标准品对照，评测产品的气味。气味较浓的产品应稀释</w:t>
      </w:r>
      <w:r>
        <w:rPr>
          <w:rFonts w:hint="eastAsia"/>
        </w:rPr>
        <w:t>2倍</w:t>
      </w:r>
      <w:r>
        <w:t>后进行评价</w:t>
      </w:r>
      <w:r>
        <w:rPr>
          <w:rFonts w:hint="eastAsia"/>
        </w:rPr>
        <w:t>。</w:t>
      </w:r>
    </w:p>
    <w:p w14:paraId="752B731D">
      <w:pPr>
        <w:pStyle w:val="105"/>
        <w:spacing w:before="120" w:after="120"/>
        <w:rPr>
          <w:rFonts w:ascii="Times New Roman"/>
        </w:rPr>
      </w:pPr>
      <w:r>
        <w:rPr>
          <w:rFonts w:hint="eastAsia" w:ascii="Times New Roman"/>
        </w:rPr>
        <w:t>总多酚含量</w:t>
      </w:r>
    </w:p>
    <w:p w14:paraId="228ABD58">
      <w:pPr>
        <w:pStyle w:val="56"/>
        <w:ind w:firstLine="420"/>
      </w:pPr>
      <w:r>
        <w:rPr>
          <w:rFonts w:hint="eastAsia"/>
        </w:rPr>
        <w:t>参照GB/T 8313中的福林酚氧化显色</w:t>
      </w:r>
      <w:r>
        <w:t>法测定总多酚的含量</w:t>
      </w:r>
      <w:r>
        <w:rPr>
          <w:rFonts w:hint="eastAsia"/>
        </w:rPr>
        <w:t>，检测方法见附录A。</w:t>
      </w:r>
    </w:p>
    <w:p w14:paraId="3D739547">
      <w:pPr>
        <w:pStyle w:val="105"/>
        <w:spacing w:before="120" w:after="120"/>
        <w:rPr>
          <w:rFonts w:ascii="Times New Roman"/>
        </w:rPr>
      </w:pPr>
      <w:r>
        <w:rPr>
          <w:rFonts w:hint="eastAsia" w:ascii="Times New Roman"/>
        </w:rPr>
        <w:t>总黄酮含量</w:t>
      </w:r>
    </w:p>
    <w:p w14:paraId="5155CFA4">
      <w:pPr>
        <w:pStyle w:val="56"/>
        <w:ind w:firstLine="420"/>
      </w:pPr>
      <w:bookmarkStart w:id="52" w:name="_Hlk197418913"/>
      <w:r>
        <w:rPr>
          <w:rFonts w:hint="eastAsia"/>
        </w:rPr>
        <w:t>参照</w:t>
      </w:r>
      <w:r>
        <w:rPr>
          <w:color w:val="000000" w:themeColor="text1"/>
        </w:rPr>
        <w:t>SN/T 4592</w:t>
      </w:r>
      <w:r>
        <w:rPr>
          <w:rFonts w:hint="eastAsia"/>
        </w:rPr>
        <w:t>测定</w:t>
      </w:r>
      <w:bookmarkEnd w:id="52"/>
      <w:r>
        <w:rPr>
          <w:rFonts w:hint="eastAsia"/>
        </w:rPr>
        <w:t>，检测方法见附录B。</w:t>
      </w:r>
    </w:p>
    <w:p w14:paraId="376DC301">
      <w:pPr>
        <w:pStyle w:val="105"/>
        <w:spacing w:before="120" w:after="120"/>
        <w:rPr>
          <w:rFonts w:ascii="Times New Roman"/>
        </w:rPr>
      </w:pPr>
      <w:r>
        <w:rPr>
          <w:rFonts w:hint="eastAsia" w:ascii="Times New Roman"/>
        </w:rPr>
        <w:t>总多糖含量</w:t>
      </w:r>
    </w:p>
    <w:p w14:paraId="4BD01139">
      <w:pPr>
        <w:pStyle w:val="56"/>
        <w:ind w:firstLine="420"/>
      </w:pPr>
      <w:bookmarkStart w:id="53" w:name="_Hlk197418929"/>
      <w:r>
        <w:rPr>
          <w:rFonts w:hint="eastAsia"/>
        </w:rPr>
        <w:t>参照</w:t>
      </w:r>
      <w:r>
        <w:t>SN/T 4260</w:t>
      </w:r>
      <w:r>
        <w:rPr>
          <w:rFonts w:hint="eastAsia"/>
        </w:rPr>
        <w:t>测定</w:t>
      </w:r>
      <w:bookmarkEnd w:id="53"/>
      <w:r>
        <w:rPr>
          <w:rFonts w:hint="eastAsia"/>
        </w:rPr>
        <w:t>，检测方法见附录C。</w:t>
      </w:r>
    </w:p>
    <w:p w14:paraId="43333520">
      <w:pPr>
        <w:pStyle w:val="105"/>
        <w:spacing w:before="120" w:after="120"/>
        <w:rPr>
          <w:rFonts w:ascii="Times New Roman"/>
        </w:rPr>
      </w:pPr>
      <w:r>
        <w:rPr>
          <w:rFonts w:hint="eastAsia" w:ascii="Times New Roman"/>
        </w:rPr>
        <w:t>微生物指标</w:t>
      </w:r>
    </w:p>
    <w:p w14:paraId="66C8340E">
      <w:pPr>
        <w:pStyle w:val="56"/>
        <w:ind w:firstLine="420"/>
      </w:pPr>
      <w:r>
        <w:t>按《化妆品安全技术规范》</w:t>
      </w:r>
      <w:r>
        <w:rPr>
          <w:rFonts w:hint="eastAsia"/>
        </w:rPr>
        <w:t>中规定的方法测定。</w:t>
      </w:r>
    </w:p>
    <w:p w14:paraId="43DAF33F">
      <w:pPr>
        <w:pStyle w:val="105"/>
        <w:spacing w:before="120" w:after="120"/>
        <w:rPr>
          <w:rFonts w:ascii="Times New Roman"/>
        </w:rPr>
      </w:pPr>
      <w:r>
        <w:rPr>
          <w:rFonts w:hint="eastAsia" w:ascii="Times New Roman"/>
        </w:rPr>
        <w:t>重金属指标</w:t>
      </w:r>
    </w:p>
    <w:p w14:paraId="760F810D">
      <w:pPr>
        <w:pStyle w:val="56"/>
        <w:ind w:firstLine="420"/>
        <w:rPr>
          <w:rFonts w:ascii="Times New Roman"/>
        </w:rPr>
      </w:pPr>
      <w:r>
        <w:rPr>
          <w:rFonts w:hint="eastAsia" w:ascii="Times New Roman"/>
        </w:rPr>
        <w:t>按《化妆品安全技术规范》中规定的方法测定。</w:t>
      </w:r>
    </w:p>
    <w:p w14:paraId="3D6449AE">
      <w:pPr>
        <w:pStyle w:val="105"/>
        <w:spacing w:before="120" w:after="120"/>
        <w:rPr>
          <w:rFonts w:ascii="Times New Roman"/>
        </w:rPr>
      </w:pPr>
      <w:r>
        <w:rPr>
          <w:rFonts w:hint="eastAsia" w:ascii="Times New Roman"/>
        </w:rPr>
        <w:t>甲醇残留</w:t>
      </w:r>
    </w:p>
    <w:p w14:paraId="1B21DAC6">
      <w:pPr>
        <w:pStyle w:val="56"/>
        <w:ind w:firstLine="420"/>
      </w:pPr>
      <w:r>
        <w:rPr>
          <w:rFonts w:hint="eastAsia"/>
        </w:rPr>
        <w:t>按《化妆品安全技术规范》中规定的方法测定。</w:t>
      </w:r>
    </w:p>
    <w:p w14:paraId="26E5A0EA">
      <w:pPr>
        <w:pStyle w:val="105"/>
        <w:spacing w:before="120" w:after="120"/>
        <w:rPr>
          <w:rFonts w:ascii="Times New Roman"/>
        </w:rPr>
      </w:pPr>
      <w:r>
        <w:rPr>
          <w:rFonts w:hint="eastAsia" w:ascii="Times New Roman"/>
        </w:rPr>
        <w:t>农药残留</w:t>
      </w:r>
    </w:p>
    <w:p w14:paraId="5B21BE72">
      <w:pPr>
        <w:pStyle w:val="56"/>
        <w:ind w:firstLine="420"/>
      </w:pPr>
      <w:r>
        <w:rPr>
          <w:rFonts w:hint="eastAsia"/>
        </w:rPr>
        <w:t>按GB/T 39665中规定的方法测定。</w:t>
      </w:r>
    </w:p>
    <w:p w14:paraId="66ADA3E8">
      <w:pPr>
        <w:pStyle w:val="104"/>
        <w:spacing w:before="240" w:after="240"/>
        <w:rPr>
          <w:rFonts w:ascii="Times New Roman"/>
        </w:rPr>
      </w:pPr>
      <w:r>
        <w:rPr>
          <w:rFonts w:hint="eastAsia" w:ascii="Times New Roman"/>
        </w:rPr>
        <w:t>检验规则</w:t>
      </w:r>
    </w:p>
    <w:p w14:paraId="4C70DC31">
      <w:pPr>
        <w:pStyle w:val="105"/>
        <w:spacing w:before="120" w:after="120"/>
        <w:rPr>
          <w:rFonts w:ascii="Times New Roman"/>
        </w:rPr>
      </w:pPr>
      <w:r>
        <w:rPr>
          <w:rFonts w:hint="eastAsia" w:ascii="Times New Roman"/>
        </w:rPr>
        <w:t>检验分类</w:t>
      </w:r>
    </w:p>
    <w:p w14:paraId="1E8896E2">
      <w:pPr>
        <w:pStyle w:val="65"/>
        <w:spacing w:before="120" w:after="120"/>
        <w:rPr>
          <w:rFonts w:ascii="Times New Roman"/>
        </w:rPr>
      </w:pPr>
      <w:r>
        <w:rPr>
          <w:rFonts w:hint="eastAsia" w:ascii="Times New Roman"/>
        </w:rPr>
        <w:t>型式检验</w:t>
      </w:r>
    </w:p>
    <w:p w14:paraId="4B5AC5B6">
      <w:pPr>
        <w:pStyle w:val="56"/>
        <w:ind w:firstLine="420"/>
      </w:pPr>
      <w:r>
        <w:t>本</w:t>
      </w:r>
      <w:r>
        <w:rPr>
          <w:rFonts w:hint="eastAsia"/>
        </w:rPr>
        <w:t>文件</w:t>
      </w:r>
      <w:r>
        <w:t>规定的所有要求为型式检验项目，有下列情况之一时，应进行型式检验</w:t>
      </w:r>
      <w:r>
        <w:rPr>
          <w:rFonts w:hint="eastAsia"/>
        </w:rPr>
        <w:t>：</w:t>
      </w:r>
    </w:p>
    <w:p w14:paraId="7CC447BC">
      <w:pPr>
        <w:pStyle w:val="132"/>
        <w:rPr>
          <w:rFonts w:ascii="Times New Roman"/>
        </w:rPr>
      </w:pPr>
      <w:r>
        <w:rPr>
          <w:rFonts w:ascii="Times New Roman"/>
        </w:rPr>
        <w:t>首次投产或停产</w:t>
      </w:r>
      <w:r>
        <w:rPr>
          <w:rFonts w:hAnsi="宋体"/>
        </w:rPr>
        <w:t>6</w:t>
      </w:r>
      <w:r>
        <w:rPr>
          <w:rFonts w:ascii="Times New Roman"/>
        </w:rPr>
        <w:t>个月以恢复生产时</w:t>
      </w:r>
      <w:r>
        <w:rPr>
          <w:rFonts w:hint="eastAsia" w:ascii="Times New Roman"/>
        </w:rPr>
        <w:t>；</w:t>
      </w:r>
    </w:p>
    <w:p w14:paraId="4171ABE0">
      <w:pPr>
        <w:pStyle w:val="132"/>
        <w:rPr>
          <w:rFonts w:ascii="Times New Roman"/>
        </w:rPr>
      </w:pPr>
      <w:r>
        <w:rPr>
          <w:rFonts w:ascii="Times New Roman"/>
        </w:rPr>
        <w:t>正式生产后，如原料、工艺有较大变化，可能影响产品质量时</w:t>
      </w:r>
      <w:r>
        <w:rPr>
          <w:rFonts w:hint="eastAsia" w:ascii="Times New Roman"/>
        </w:rPr>
        <w:t>；</w:t>
      </w:r>
    </w:p>
    <w:p w14:paraId="7A6E89C5">
      <w:pPr>
        <w:pStyle w:val="132"/>
        <w:rPr>
          <w:rFonts w:ascii="Times New Roman"/>
        </w:rPr>
      </w:pPr>
      <w:r>
        <w:rPr>
          <w:rFonts w:ascii="Times New Roman"/>
        </w:rPr>
        <w:t>正常生产每年至少应进行一次</w:t>
      </w:r>
      <w:r>
        <w:rPr>
          <w:rFonts w:hint="eastAsia" w:ascii="Times New Roman"/>
        </w:rPr>
        <w:t>；</w:t>
      </w:r>
    </w:p>
    <w:p w14:paraId="354D3526">
      <w:pPr>
        <w:pStyle w:val="132"/>
        <w:rPr>
          <w:rFonts w:ascii="Times New Roman"/>
        </w:rPr>
      </w:pPr>
      <w:r>
        <w:rPr>
          <w:rFonts w:ascii="Times New Roman" w:cs="宋体"/>
          <w:color w:val="000000"/>
          <w:szCs w:val="21"/>
        </w:rPr>
        <w:t>国家质量监督机构提出进行型式检验的要求时</w:t>
      </w:r>
      <w:r>
        <w:rPr>
          <w:rFonts w:hint="eastAsia" w:ascii="Times New Roman" w:cs="宋体"/>
          <w:color w:val="000000"/>
          <w:szCs w:val="21"/>
        </w:rPr>
        <w:t>。</w:t>
      </w:r>
    </w:p>
    <w:p w14:paraId="4A4FA66D">
      <w:pPr>
        <w:pStyle w:val="65"/>
        <w:spacing w:before="120" w:after="120"/>
        <w:rPr>
          <w:rFonts w:ascii="Times New Roman"/>
        </w:rPr>
      </w:pPr>
      <w:r>
        <w:rPr>
          <w:rFonts w:hint="eastAsia" w:ascii="Times New Roman"/>
        </w:rPr>
        <w:t>出厂检验</w:t>
      </w:r>
    </w:p>
    <w:p w14:paraId="3C6EA63C">
      <w:pPr>
        <w:pStyle w:val="56"/>
        <w:ind w:firstLine="420"/>
      </w:pPr>
      <w:r>
        <w:t>外观、气味、</w:t>
      </w:r>
      <w:r>
        <w:rPr>
          <w:rFonts w:hint="eastAsia"/>
        </w:rPr>
        <w:t>总多酚</w:t>
      </w:r>
      <w:r>
        <w:t>含量、</w:t>
      </w:r>
      <w:r>
        <w:rPr>
          <w:rFonts w:hint="eastAsia"/>
        </w:rPr>
        <w:t>总黄酮含量、总多糖含量、</w:t>
      </w:r>
      <w:r>
        <w:t>菌落总数、霉菌和酵母菌总数为出厂检验项目。生产厂应保证每批出厂的产品都符合本</w:t>
      </w:r>
      <w:r>
        <w:rPr>
          <w:rFonts w:hint="eastAsia"/>
        </w:rPr>
        <w:t>文件</w:t>
      </w:r>
      <w:r>
        <w:t>的要求。每一批出厂的产品都应有一定格式的质量证书，内容包括出厂检验项目、产品名称、生产厂名称、生产日期或批号、净重、执行标准编号</w:t>
      </w:r>
      <w:r>
        <w:rPr>
          <w:rFonts w:hint="eastAsia"/>
        </w:rPr>
        <w:t>。</w:t>
      </w:r>
    </w:p>
    <w:p w14:paraId="78BBD5C7">
      <w:pPr>
        <w:pStyle w:val="105"/>
        <w:spacing w:before="120" w:after="120"/>
        <w:rPr>
          <w:rFonts w:ascii="Times New Roman"/>
        </w:rPr>
      </w:pPr>
      <w:r>
        <w:rPr>
          <w:rFonts w:hint="eastAsia" w:ascii="Times New Roman"/>
        </w:rPr>
        <w:t>抽样</w:t>
      </w:r>
    </w:p>
    <w:p w14:paraId="76F3EC2C">
      <w:pPr>
        <w:pStyle w:val="56"/>
        <w:ind w:firstLine="420"/>
      </w:pPr>
      <w:r>
        <w:t>按GB/T</w:t>
      </w:r>
      <w:r>
        <w:rPr>
          <w:rFonts w:hint="eastAsia"/>
        </w:rPr>
        <w:t xml:space="preserve"> </w:t>
      </w:r>
      <w:r>
        <w:t>6678和GB/T</w:t>
      </w:r>
      <w:r>
        <w:rPr>
          <w:rFonts w:hint="eastAsia"/>
        </w:rPr>
        <w:t xml:space="preserve"> </w:t>
      </w:r>
      <w:r>
        <w:t>6680中有关规定进行，对产品进行采样两份，密封包装，其中一份用于检验，一份用于留样</w:t>
      </w:r>
      <w:r>
        <w:rPr>
          <w:rFonts w:hint="eastAsia"/>
        </w:rPr>
        <w:t>。</w:t>
      </w:r>
    </w:p>
    <w:p w14:paraId="6696464C">
      <w:pPr>
        <w:pStyle w:val="105"/>
        <w:spacing w:before="120" w:after="120"/>
        <w:rPr>
          <w:rFonts w:ascii="Times New Roman"/>
        </w:rPr>
      </w:pPr>
      <w:r>
        <w:rPr>
          <w:rFonts w:hint="eastAsia" w:ascii="Times New Roman"/>
        </w:rPr>
        <w:t>判定规则</w:t>
      </w:r>
    </w:p>
    <w:p w14:paraId="2E1B62EE">
      <w:pPr>
        <w:pStyle w:val="56"/>
        <w:ind w:firstLine="420"/>
      </w:pPr>
      <w:r>
        <w:rPr>
          <w:rFonts w:hint="eastAsia"/>
        </w:rPr>
        <w:t>检验结果中如有微生物指标不符合本文件规定的，则不予复检，该批产品判为不合格。对于其他指 标不符合本文件规定时，可从同批样品中加倍抽样复检，如仍有指标不符合本文件规定的，则该批产品 为不合格产品。</w:t>
      </w:r>
    </w:p>
    <w:p w14:paraId="23CD2EB7">
      <w:pPr>
        <w:pStyle w:val="104"/>
        <w:spacing w:before="240" w:after="240"/>
        <w:rPr>
          <w:rFonts w:ascii="Times New Roman"/>
        </w:rPr>
      </w:pPr>
      <w:r>
        <w:rPr>
          <w:rFonts w:hint="eastAsia" w:ascii="Times New Roman"/>
        </w:rPr>
        <w:t>标志、包装、运输、贮存和保质期</w:t>
      </w:r>
    </w:p>
    <w:p w14:paraId="6089237A">
      <w:pPr>
        <w:pStyle w:val="105"/>
        <w:spacing w:before="120" w:after="120"/>
        <w:rPr>
          <w:rFonts w:ascii="Times New Roman"/>
        </w:rPr>
      </w:pPr>
      <w:r>
        <w:rPr>
          <w:rFonts w:hint="eastAsia" w:ascii="Times New Roman"/>
        </w:rPr>
        <w:t>标志</w:t>
      </w:r>
    </w:p>
    <w:p w14:paraId="2585715E">
      <w:pPr>
        <w:pStyle w:val="56"/>
        <w:ind w:firstLine="420"/>
      </w:pPr>
      <w:r>
        <w:rPr>
          <w:rFonts w:hint="eastAsia"/>
        </w:rPr>
        <w:t>产品销售包装图示标志应符合GB/T 191的规定，产品包装上应牢固标明正式产品名称、净含量、使用期限（用生产日期、保质期或生产批号、限期使用日期等方式组合表示）、产品所有者名称、地址等内容及需要标识的内容。</w:t>
      </w:r>
    </w:p>
    <w:p w14:paraId="0C8CF65B">
      <w:pPr>
        <w:pStyle w:val="105"/>
        <w:spacing w:before="120" w:after="120"/>
        <w:rPr>
          <w:rFonts w:ascii="Times New Roman"/>
        </w:rPr>
      </w:pPr>
      <w:r>
        <w:rPr>
          <w:rFonts w:hint="eastAsia" w:ascii="Times New Roman"/>
        </w:rPr>
        <w:t>包装</w:t>
      </w:r>
    </w:p>
    <w:p w14:paraId="5757CC14">
      <w:pPr>
        <w:pStyle w:val="56"/>
        <w:ind w:firstLine="420"/>
      </w:pPr>
      <w:r>
        <w:rPr>
          <w:rFonts w:hint="eastAsia"/>
        </w:rPr>
        <w:t>包装材料清洁、无毒、无异味，应符合相应的标准和有关规定的要求，产品包装应完整、无破损。</w:t>
      </w:r>
    </w:p>
    <w:p w14:paraId="1570C421">
      <w:pPr>
        <w:pStyle w:val="105"/>
        <w:spacing w:before="120" w:after="120"/>
        <w:rPr>
          <w:rFonts w:ascii="Times New Roman"/>
        </w:rPr>
      </w:pPr>
      <w:r>
        <w:rPr>
          <w:rFonts w:hint="eastAsia" w:ascii="Times New Roman"/>
        </w:rPr>
        <w:t>运输</w:t>
      </w:r>
    </w:p>
    <w:p w14:paraId="75778329">
      <w:pPr>
        <w:pStyle w:val="56"/>
        <w:ind w:firstLine="420"/>
      </w:pPr>
      <w:r>
        <w:rPr>
          <w:rFonts w:hint="eastAsia"/>
        </w:rPr>
        <w:t>可常温运输，运输工具应清洁、卫生。产品在运输过程中应避免日晒、雨淋。</w:t>
      </w:r>
    </w:p>
    <w:p w14:paraId="13747807">
      <w:pPr>
        <w:pStyle w:val="105"/>
        <w:spacing w:before="120" w:after="120"/>
        <w:rPr>
          <w:rFonts w:ascii="Times New Roman"/>
        </w:rPr>
      </w:pPr>
      <w:r>
        <w:rPr>
          <w:rFonts w:hint="eastAsia" w:ascii="Times New Roman"/>
        </w:rPr>
        <w:t>贮存</w:t>
      </w:r>
    </w:p>
    <w:p w14:paraId="5FCD738D">
      <w:pPr>
        <w:pStyle w:val="56"/>
        <w:ind w:firstLine="420"/>
      </w:pPr>
      <w:r>
        <w:rPr>
          <w:rFonts w:hint="eastAsia"/>
        </w:rPr>
        <w:t>避光、干燥处，密封保存。</w:t>
      </w:r>
    </w:p>
    <w:p w14:paraId="4926B9B4">
      <w:pPr>
        <w:pStyle w:val="105"/>
        <w:spacing w:before="120" w:after="120"/>
        <w:rPr>
          <w:rFonts w:ascii="Times New Roman"/>
        </w:rPr>
      </w:pPr>
      <w:r>
        <w:rPr>
          <w:rFonts w:hint="eastAsia" w:ascii="Times New Roman"/>
        </w:rPr>
        <w:t>保质期</w:t>
      </w:r>
    </w:p>
    <w:p w14:paraId="7CACBA95">
      <w:pPr>
        <w:pStyle w:val="56"/>
        <w:ind w:firstLine="420"/>
      </w:pPr>
      <w:r>
        <w:rPr>
          <w:rFonts w:hint="eastAsia"/>
        </w:rPr>
        <w:t>在规定的运输和储存条件下，产品包装完整和未经启封的情况下，保质期按销售包装标注执行。</w:t>
      </w:r>
    </w:p>
    <w:p w14:paraId="307A03A6">
      <w:pPr>
        <w:pStyle w:val="56"/>
        <w:ind w:firstLine="420"/>
        <w:rPr>
          <w:rFonts w:ascii="Times New Roman"/>
        </w:rPr>
        <w:sectPr>
          <w:pgSz w:w="11906" w:h="16838"/>
          <w:pgMar w:top="1928" w:right="1134" w:bottom="1134" w:left="1134" w:header="1418" w:footer="1134" w:gutter="284"/>
          <w:pgNumType w:start="1"/>
          <w:cols w:space="425" w:num="1"/>
          <w:formProt w:val="0"/>
          <w:docGrid w:linePitch="312" w:charSpace="0"/>
        </w:sectPr>
      </w:pPr>
    </w:p>
    <w:bookmarkEnd w:id="21"/>
    <w:p w14:paraId="6162F212">
      <w:pPr>
        <w:pStyle w:val="198"/>
        <w:rPr>
          <w:rFonts w:ascii="Times New Roman" w:hAnsi="Times New Roman"/>
          <w:vanish w:val="0"/>
        </w:rPr>
      </w:pPr>
      <w:bookmarkStart w:id="54" w:name="BookMark5"/>
    </w:p>
    <w:p w14:paraId="19EA69C9">
      <w:pPr>
        <w:pStyle w:val="199"/>
        <w:rPr>
          <w:rFonts w:ascii="Times New Roman"/>
          <w:vanish w:val="0"/>
        </w:rPr>
      </w:pPr>
    </w:p>
    <w:p w14:paraId="6834C438">
      <w:pPr>
        <w:pStyle w:val="76"/>
        <w:spacing w:after="120"/>
        <w:rPr>
          <w:rFonts w:ascii="Times New Roman"/>
        </w:rPr>
      </w:pPr>
      <w:r>
        <w:rPr>
          <w:rFonts w:ascii="Times New Roman"/>
        </w:rPr>
        <w:br w:type="textWrapping"/>
      </w:r>
      <w:r>
        <w:rPr>
          <w:rFonts w:hint="eastAsia" w:ascii="Times New Roman"/>
        </w:rPr>
        <w:t>（规范性）</w:t>
      </w:r>
      <w:r>
        <w:rPr>
          <w:rFonts w:ascii="Times New Roman"/>
        </w:rPr>
        <w:br w:type="textWrapping"/>
      </w:r>
      <w:r>
        <w:rPr>
          <w:rFonts w:hint="eastAsia" w:ascii="Times New Roman"/>
        </w:rPr>
        <w:t>总多酚含量测定</w:t>
      </w:r>
    </w:p>
    <w:p w14:paraId="2B0552F6">
      <w:pPr>
        <w:pStyle w:val="78"/>
        <w:spacing w:before="120" w:after="120"/>
        <w:rPr>
          <w:rFonts w:ascii="Times New Roman"/>
        </w:rPr>
      </w:pPr>
      <w:r>
        <w:rPr>
          <w:rFonts w:hint="eastAsia" w:ascii="Times New Roman"/>
        </w:rPr>
        <w:t>原理</w:t>
      </w:r>
    </w:p>
    <w:p w14:paraId="6955DCBD">
      <w:pPr>
        <w:pStyle w:val="56"/>
        <w:ind w:firstLine="420"/>
      </w:pPr>
      <w:r>
        <w:rPr>
          <w:rFonts w:hint="eastAsia"/>
        </w:rPr>
        <w:t>福林酚试剂氧化供试品溶液中的多酚-OH基团并显蓝色，最大吸收波长为760</w:t>
      </w:r>
      <w:r>
        <w:rPr>
          <w:rFonts w:hint="eastAsia"/>
          <w:vertAlign w:val="superscript"/>
        </w:rPr>
        <w:t xml:space="preserve"> </w:t>
      </w:r>
      <w:r>
        <w:rPr>
          <w:rFonts w:hint="eastAsia"/>
        </w:rPr>
        <w:t>nm，用没食子酸作校正标准定量多酚含量。</w:t>
      </w:r>
    </w:p>
    <w:p w14:paraId="75378CA1">
      <w:pPr>
        <w:pStyle w:val="78"/>
        <w:spacing w:before="120" w:after="120"/>
        <w:rPr>
          <w:rFonts w:ascii="Times New Roman"/>
        </w:rPr>
      </w:pPr>
      <w:r>
        <w:rPr>
          <w:rFonts w:hint="eastAsia" w:ascii="Times New Roman"/>
        </w:rPr>
        <w:t>仪器</w:t>
      </w:r>
    </w:p>
    <w:p w14:paraId="7DDE9C60">
      <w:pPr>
        <w:pStyle w:val="212"/>
        <w:rPr>
          <w:rFonts w:ascii="Times New Roman"/>
        </w:rPr>
      </w:pPr>
      <w:r>
        <w:rPr>
          <w:rFonts w:hint="eastAsia" w:ascii="Times New Roman"/>
        </w:rPr>
        <w:t>电子天平：感量</w:t>
      </w:r>
      <w:r>
        <w:rPr>
          <w:rFonts w:hint="eastAsia" w:hAnsi="宋体"/>
        </w:rPr>
        <w:t>0.000</w:t>
      </w:r>
      <w:r>
        <w:rPr>
          <w:rFonts w:hint="eastAsia" w:hAnsi="宋体"/>
          <w:vertAlign w:val="superscript"/>
        </w:rPr>
        <w:t xml:space="preserve"> </w:t>
      </w:r>
      <w:r>
        <w:rPr>
          <w:rFonts w:hint="eastAsia" w:hAnsi="宋体"/>
        </w:rPr>
        <w:t>1</w:t>
      </w:r>
      <w:r>
        <w:rPr>
          <w:rFonts w:hint="eastAsia" w:hAnsi="宋体"/>
          <w:w w:val="50"/>
          <w:vertAlign w:val="superscript"/>
        </w:rPr>
        <w:t xml:space="preserve"> </w:t>
      </w:r>
      <w:r>
        <w:rPr>
          <w:rFonts w:hint="eastAsia" w:hAnsi="宋体"/>
        </w:rPr>
        <w:t>g。</w:t>
      </w:r>
    </w:p>
    <w:p w14:paraId="28569D31">
      <w:pPr>
        <w:pStyle w:val="212"/>
        <w:rPr>
          <w:rFonts w:ascii="Times New Roman"/>
        </w:rPr>
      </w:pPr>
      <w:r>
        <w:rPr>
          <w:rFonts w:hint="eastAsia" w:ascii="Times New Roman"/>
        </w:rPr>
        <w:t>紫外</w:t>
      </w:r>
      <w:r>
        <w:rPr>
          <w:rFonts w:hint="eastAsia" w:hAnsi="宋体"/>
        </w:rPr>
        <w:t>-</w:t>
      </w:r>
      <w:r>
        <w:rPr>
          <w:rFonts w:hint="eastAsia" w:ascii="Times New Roman"/>
        </w:rPr>
        <w:t>可见分光光度计，</w:t>
      </w:r>
      <w:r>
        <w:rPr>
          <w:rFonts w:hint="eastAsia" w:hAnsi="宋体"/>
        </w:rPr>
        <w:t>采用1</w:t>
      </w:r>
      <w:r>
        <w:rPr>
          <w:rFonts w:hint="eastAsia" w:hAnsi="宋体"/>
          <w:w w:val="50"/>
        </w:rPr>
        <w:t xml:space="preserve"> </w:t>
      </w:r>
      <w:r>
        <w:rPr>
          <w:rFonts w:hint="eastAsia" w:hAnsi="宋体"/>
        </w:rPr>
        <w:t>cm比色皿。</w:t>
      </w:r>
    </w:p>
    <w:p w14:paraId="24429111">
      <w:pPr>
        <w:pStyle w:val="78"/>
        <w:spacing w:before="120" w:after="120"/>
        <w:rPr>
          <w:rFonts w:ascii="Times New Roman"/>
        </w:rPr>
      </w:pPr>
      <w:r>
        <w:rPr>
          <w:rFonts w:hint="eastAsia" w:ascii="Times New Roman"/>
        </w:rPr>
        <w:t>试剂</w:t>
      </w:r>
    </w:p>
    <w:p w14:paraId="71812604">
      <w:pPr>
        <w:pStyle w:val="212"/>
        <w:rPr>
          <w:rFonts w:ascii="Times New Roman"/>
        </w:rPr>
      </w:pPr>
      <w:r>
        <w:rPr>
          <w:rFonts w:ascii="Times New Roman"/>
        </w:rPr>
        <w:t>没食子酸标准品</w:t>
      </w:r>
      <w:r>
        <w:rPr>
          <w:rFonts w:hint="eastAsia" w:ascii="Times New Roman"/>
        </w:rPr>
        <w:t>。</w:t>
      </w:r>
    </w:p>
    <w:p w14:paraId="50538A28">
      <w:pPr>
        <w:pStyle w:val="212"/>
        <w:rPr>
          <w:rFonts w:ascii="Times New Roman"/>
        </w:rPr>
      </w:pPr>
      <w:r>
        <w:rPr>
          <w:rFonts w:hint="eastAsia" w:ascii="Times New Roman"/>
        </w:rPr>
        <w:t>碳酸钠</w:t>
      </w:r>
      <w:r>
        <w:rPr>
          <w:rFonts w:hint="eastAsia" w:hAnsi="宋体"/>
        </w:rPr>
        <w:t>（Na</w:t>
      </w:r>
      <w:r>
        <w:rPr>
          <w:rFonts w:hint="eastAsia" w:hAnsi="宋体"/>
          <w:vertAlign w:val="subscript"/>
        </w:rPr>
        <w:t>2</w:t>
      </w:r>
      <w:r>
        <w:rPr>
          <w:rFonts w:hint="eastAsia" w:hAnsi="宋体"/>
        </w:rPr>
        <w:t>CO</w:t>
      </w:r>
      <w:r>
        <w:rPr>
          <w:rFonts w:hint="eastAsia" w:hAnsi="宋体"/>
          <w:vertAlign w:val="subscript"/>
        </w:rPr>
        <w:t>3</w:t>
      </w:r>
      <w:r>
        <w:rPr>
          <w:rFonts w:hint="eastAsia" w:hAnsi="宋体"/>
        </w:rPr>
        <w:t>）。</w:t>
      </w:r>
    </w:p>
    <w:p w14:paraId="5752BC76">
      <w:pPr>
        <w:pStyle w:val="212"/>
        <w:rPr>
          <w:rFonts w:ascii="Times New Roman"/>
        </w:rPr>
      </w:pPr>
      <w:bookmarkStart w:id="55" w:name="OLE_LINK14"/>
      <w:r>
        <w:rPr>
          <w:rFonts w:hint="eastAsia" w:ascii="Times New Roman"/>
        </w:rPr>
        <w:t>福林酚试液</w:t>
      </w:r>
      <w:bookmarkEnd w:id="55"/>
      <w:bookmarkStart w:id="56" w:name="OLE_LINK15"/>
      <w:r>
        <w:rPr>
          <w:rFonts w:hint="eastAsia" w:ascii="Times New Roman"/>
        </w:rPr>
        <w:t>：</w:t>
      </w:r>
      <w:r>
        <w:rPr>
          <w:rFonts w:hint="eastAsia" w:hAnsi="宋体"/>
        </w:rPr>
        <w:t>1</w:t>
      </w:r>
      <w:r>
        <w:rPr>
          <w:rFonts w:hint="eastAsia" w:hAnsi="宋体"/>
          <w:vertAlign w:val="superscript"/>
        </w:rPr>
        <w:t xml:space="preserve"> </w:t>
      </w:r>
      <w:r>
        <w:rPr>
          <w:rFonts w:hint="eastAsia" w:hAnsi="宋体"/>
        </w:rPr>
        <w:t>mol/L</w:t>
      </w:r>
      <w:bookmarkEnd w:id="56"/>
      <w:r>
        <w:rPr>
          <w:rFonts w:hint="eastAsia" w:hAnsi="宋体"/>
        </w:rPr>
        <w:t>，</w:t>
      </w:r>
      <w:r>
        <w:rPr>
          <w:rFonts w:hint="eastAsia" w:ascii="Times New Roman"/>
        </w:rPr>
        <w:t>参照《中国人民共和国药典》</w:t>
      </w:r>
      <w:r>
        <w:rPr>
          <w:rFonts w:hint="eastAsia" w:hAnsi="宋体"/>
        </w:rPr>
        <w:t>（2025年版）第四部中福林酚试液B配制。</w:t>
      </w:r>
    </w:p>
    <w:p w14:paraId="1E826713">
      <w:pPr>
        <w:pStyle w:val="212"/>
        <w:rPr>
          <w:rFonts w:hAnsi="宋体"/>
        </w:rPr>
      </w:pPr>
      <w:r>
        <w:rPr>
          <w:rFonts w:hint="eastAsia" w:hAnsi="宋体"/>
        </w:rPr>
        <w:t>10%福林酚试剂（现配）：将10 mL福林酚试液转移到100 mL容量瓶中，用水定容并摇匀。</w:t>
      </w:r>
    </w:p>
    <w:p w14:paraId="5A6E39E1">
      <w:pPr>
        <w:pStyle w:val="212"/>
        <w:rPr>
          <w:rFonts w:hAnsi="宋体"/>
        </w:rPr>
      </w:pPr>
      <w:r>
        <w:rPr>
          <w:rFonts w:hint="eastAsia" w:hAnsi="宋体"/>
        </w:rPr>
        <w:t>7.5%碳酸钠溶液：称取碳酸钠7.50</w:t>
      </w:r>
      <w:r>
        <w:rPr>
          <w:rFonts w:hint="eastAsia" w:hAnsi="宋体"/>
          <w:w w:val="50"/>
        </w:rPr>
        <w:t xml:space="preserve"> </w:t>
      </w:r>
      <w:r>
        <w:rPr>
          <w:rFonts w:hint="eastAsia" w:hAnsi="宋体"/>
        </w:rPr>
        <w:t>g，加水溶解并定容至100</w:t>
      </w:r>
      <w:r>
        <w:rPr>
          <w:rFonts w:hint="eastAsia" w:hAnsi="宋体"/>
          <w:w w:val="50"/>
        </w:rPr>
        <w:t xml:space="preserve"> </w:t>
      </w:r>
      <w:r>
        <w:rPr>
          <w:rFonts w:hint="eastAsia" w:hAnsi="宋体"/>
        </w:rPr>
        <w:t>mL，摇匀（室温下可保存一个月）。</w:t>
      </w:r>
    </w:p>
    <w:p w14:paraId="24B0DD0A">
      <w:pPr>
        <w:pStyle w:val="78"/>
        <w:spacing w:before="120" w:after="120"/>
        <w:rPr>
          <w:rFonts w:ascii="Times New Roman"/>
        </w:rPr>
      </w:pPr>
      <w:r>
        <w:rPr>
          <w:rFonts w:hint="eastAsia" w:ascii="Times New Roman"/>
        </w:rPr>
        <w:t>溶液配制</w:t>
      </w:r>
    </w:p>
    <w:p w14:paraId="1F8E7D47">
      <w:pPr>
        <w:pStyle w:val="79"/>
        <w:spacing w:before="120" w:after="120"/>
        <w:rPr>
          <w:rFonts w:ascii="Times New Roman"/>
          <w:szCs w:val="21"/>
        </w:rPr>
      </w:pPr>
      <w:r>
        <w:rPr>
          <w:rFonts w:ascii="Times New Roman"/>
          <w:spacing w:val="-1"/>
          <w:szCs w:val="21"/>
        </w:rPr>
        <w:t>没食子酸标准溶液</w:t>
      </w:r>
    </w:p>
    <w:p w14:paraId="1D417381">
      <w:pPr>
        <w:pStyle w:val="56"/>
        <w:ind w:firstLine="420"/>
        <w:rPr>
          <w:rFonts w:hAnsi="宋体"/>
        </w:rPr>
      </w:pPr>
      <w:r>
        <w:rPr>
          <w:rFonts w:hint="eastAsia" w:hAnsi="宋体"/>
        </w:rPr>
        <w:t>称取没食子酸标准品0.100</w:t>
      </w:r>
      <w:r>
        <w:rPr>
          <w:rFonts w:hint="eastAsia" w:hAnsi="宋体"/>
          <w:w w:val="50"/>
        </w:rPr>
        <w:t xml:space="preserve"> </w:t>
      </w:r>
      <w:r>
        <w:rPr>
          <w:rFonts w:hint="eastAsia" w:hAnsi="宋体"/>
        </w:rPr>
        <w:t>g (精确到0.000</w:t>
      </w:r>
      <w:r>
        <w:rPr>
          <w:rFonts w:hint="eastAsia" w:hAnsi="宋体"/>
          <w:vertAlign w:val="superscript"/>
        </w:rPr>
        <w:t xml:space="preserve"> </w:t>
      </w:r>
      <w:r>
        <w:rPr>
          <w:rFonts w:hint="eastAsia" w:hAnsi="宋体"/>
        </w:rPr>
        <w:t>1</w:t>
      </w:r>
      <w:r>
        <w:rPr>
          <w:rFonts w:hint="eastAsia" w:hAnsi="宋体"/>
          <w:w w:val="50"/>
        </w:rPr>
        <w:t xml:space="preserve"> </w:t>
      </w:r>
      <w:r>
        <w:rPr>
          <w:rFonts w:hint="eastAsia" w:hAnsi="宋体"/>
        </w:rPr>
        <w:t>g) 至100</w:t>
      </w:r>
      <w:r>
        <w:rPr>
          <w:rFonts w:hint="eastAsia" w:hAnsi="宋体"/>
          <w:vertAlign w:val="superscript"/>
        </w:rPr>
        <w:t xml:space="preserve"> </w:t>
      </w:r>
      <w:r>
        <w:rPr>
          <w:rFonts w:hint="eastAsia" w:hAnsi="宋体"/>
        </w:rPr>
        <w:t>mL容量瓶中，加适量水溶解，用水定容至刻度，摇匀。精密移取5.00 mL上述溶液至100</w:t>
      </w:r>
      <w:r>
        <w:rPr>
          <w:rFonts w:hint="eastAsia" w:hAnsi="宋体"/>
          <w:w w:val="50"/>
        </w:rPr>
        <w:t xml:space="preserve"> </w:t>
      </w:r>
      <w:r>
        <w:rPr>
          <w:rFonts w:hint="eastAsia" w:hAnsi="宋体"/>
        </w:rPr>
        <w:t>mL容量瓶中，用水定量至刻度，摇匀，即得</w:t>
      </w:r>
      <w:bookmarkStart w:id="57" w:name="OLE_LINK16"/>
      <w:r>
        <w:rPr>
          <w:rFonts w:hint="eastAsia" w:hAnsi="宋体"/>
        </w:rPr>
        <w:t>浓度为50</w:t>
      </w:r>
      <w:r>
        <w:rPr>
          <w:rFonts w:hint="eastAsia" w:hAnsi="宋体"/>
          <w:w w:val="50"/>
        </w:rPr>
        <w:t xml:space="preserve"> </w:t>
      </w:r>
      <w:bookmarkStart w:id="58" w:name="OLE_LINK13"/>
      <w:r>
        <w:rPr>
          <w:rFonts w:hAnsi="宋体"/>
        </w:rPr>
        <w:t>μ</w:t>
      </w:r>
      <w:r>
        <w:rPr>
          <w:rFonts w:hint="eastAsia" w:hAnsi="宋体"/>
        </w:rPr>
        <w:t>g/mL</w:t>
      </w:r>
      <w:bookmarkEnd w:id="57"/>
      <w:bookmarkEnd w:id="58"/>
      <w:r>
        <w:rPr>
          <w:rFonts w:hint="eastAsia" w:hAnsi="宋体"/>
        </w:rPr>
        <w:t>的没食子酸标准溶液，临用现配。</w:t>
      </w:r>
    </w:p>
    <w:p w14:paraId="021FF522">
      <w:pPr>
        <w:pStyle w:val="79"/>
        <w:spacing w:before="120" w:after="120"/>
        <w:rPr>
          <w:rFonts w:ascii="Times New Roman"/>
        </w:rPr>
      </w:pPr>
      <w:r>
        <w:rPr>
          <w:rFonts w:hint="eastAsia" w:ascii="Times New Roman"/>
        </w:rPr>
        <w:t>供试品溶液的制备</w:t>
      </w:r>
    </w:p>
    <w:p w14:paraId="186363C2">
      <w:pPr>
        <w:pStyle w:val="56"/>
        <w:ind w:firstLine="420"/>
        <w:rPr>
          <w:rFonts w:hAnsi="宋体"/>
        </w:rPr>
      </w:pPr>
      <w:r>
        <w:rPr>
          <w:rFonts w:hint="eastAsia" w:hAnsi="宋体"/>
        </w:rPr>
        <w:t>精密移取待测样品溶液1.00</w:t>
      </w:r>
      <w:r>
        <w:rPr>
          <w:rFonts w:hint="eastAsia" w:hAnsi="宋体"/>
          <w:vertAlign w:val="superscript"/>
        </w:rPr>
        <w:t xml:space="preserve"> </w:t>
      </w:r>
      <w:r>
        <w:rPr>
          <w:rFonts w:hint="eastAsia" w:hAnsi="宋体"/>
        </w:rPr>
        <w:t>mL至100</w:t>
      </w:r>
      <w:r>
        <w:rPr>
          <w:rFonts w:hint="eastAsia" w:hAnsi="宋体"/>
          <w:vertAlign w:val="superscript"/>
        </w:rPr>
        <w:t xml:space="preserve"> </w:t>
      </w:r>
      <w:r>
        <w:rPr>
          <w:rFonts w:hint="eastAsia" w:hAnsi="宋体"/>
        </w:rPr>
        <w:t>mL容量瓶中，用水定容至刻度，摇匀。精密移取上述溶液</w:t>
      </w:r>
    </w:p>
    <w:p w14:paraId="29E5FBEB">
      <w:pPr>
        <w:pStyle w:val="56"/>
        <w:ind w:firstLine="0" w:firstLineChars="0"/>
        <w:rPr>
          <w:rFonts w:hAnsi="宋体"/>
        </w:rPr>
      </w:pPr>
      <w:r>
        <w:rPr>
          <w:rFonts w:hint="eastAsia" w:hAnsi="宋体"/>
        </w:rPr>
        <w:t>1.00</w:t>
      </w:r>
      <w:r>
        <w:rPr>
          <w:rFonts w:hint="eastAsia" w:hAnsi="宋体"/>
          <w:vertAlign w:val="superscript"/>
        </w:rPr>
        <w:t xml:space="preserve"> </w:t>
      </w:r>
      <w:r>
        <w:rPr>
          <w:rFonts w:hint="eastAsia" w:hAnsi="宋体"/>
        </w:rPr>
        <w:t>mL至10</w:t>
      </w:r>
      <w:r>
        <w:rPr>
          <w:rFonts w:hint="eastAsia" w:hAnsi="宋体"/>
          <w:vertAlign w:val="superscript"/>
        </w:rPr>
        <w:t xml:space="preserve"> </w:t>
      </w:r>
      <w:r>
        <w:rPr>
          <w:rFonts w:hint="eastAsia" w:hAnsi="宋体"/>
        </w:rPr>
        <w:t>mL具塞比色管中，加入5.0</w:t>
      </w:r>
      <w:r>
        <w:rPr>
          <w:rFonts w:hint="eastAsia" w:hAnsi="宋体"/>
          <w:vertAlign w:val="superscript"/>
        </w:rPr>
        <w:t xml:space="preserve"> </w:t>
      </w:r>
      <w:r>
        <w:rPr>
          <w:rFonts w:hint="eastAsia" w:hAnsi="宋体"/>
        </w:rPr>
        <w:t>mL的10%福林酚试剂，摇匀，反应5</w:t>
      </w:r>
      <w:r>
        <w:rPr>
          <w:rFonts w:hint="eastAsia" w:hAnsi="宋体"/>
          <w:vertAlign w:val="superscript"/>
        </w:rPr>
        <w:t xml:space="preserve"> </w:t>
      </w:r>
      <w:r>
        <w:rPr>
          <w:rFonts w:hint="eastAsia" w:hAnsi="宋体"/>
        </w:rPr>
        <w:t>min，加入4.0</w:t>
      </w:r>
      <w:r>
        <w:rPr>
          <w:rFonts w:hint="eastAsia" w:hAnsi="宋体"/>
          <w:vertAlign w:val="superscript"/>
        </w:rPr>
        <w:t xml:space="preserve"> </w:t>
      </w:r>
      <w:r>
        <w:rPr>
          <w:rFonts w:hint="eastAsia" w:hAnsi="宋体"/>
        </w:rPr>
        <w:t>mL 7.5%碳酸钠溶液，加水定容至刻度，室温下放置60</w:t>
      </w:r>
      <w:r>
        <w:rPr>
          <w:rFonts w:hint="eastAsia" w:hAnsi="宋体"/>
          <w:vertAlign w:val="superscript"/>
        </w:rPr>
        <w:t xml:space="preserve"> </w:t>
      </w:r>
      <w:r>
        <w:rPr>
          <w:rFonts w:hint="eastAsia" w:hAnsi="宋体"/>
        </w:rPr>
        <w:t>min，待测。</w:t>
      </w:r>
    </w:p>
    <w:p w14:paraId="68531741">
      <w:pPr>
        <w:pStyle w:val="78"/>
        <w:spacing w:before="120" w:after="120"/>
        <w:rPr>
          <w:rFonts w:ascii="Times New Roman"/>
        </w:rPr>
      </w:pPr>
      <w:r>
        <w:rPr>
          <w:rFonts w:hint="eastAsia" w:ascii="Times New Roman"/>
        </w:rPr>
        <w:t>操作过程</w:t>
      </w:r>
    </w:p>
    <w:p w14:paraId="62499D0C">
      <w:pPr>
        <w:pStyle w:val="79"/>
        <w:spacing w:before="120" w:after="120"/>
        <w:rPr>
          <w:rFonts w:ascii="Times New Roman"/>
        </w:rPr>
      </w:pPr>
      <w:r>
        <w:rPr>
          <w:rFonts w:hint="eastAsia" w:ascii="Times New Roman"/>
        </w:rPr>
        <w:t>标准曲线的制备</w:t>
      </w:r>
    </w:p>
    <w:p w14:paraId="5D8A47AF">
      <w:pPr>
        <w:pStyle w:val="56"/>
        <w:ind w:firstLine="420"/>
        <w:rPr>
          <w:rFonts w:hAnsi="宋体"/>
        </w:rPr>
      </w:pPr>
      <w:r>
        <w:rPr>
          <w:rFonts w:hint="eastAsia" w:hAnsi="宋体"/>
        </w:rPr>
        <w:t>分别精密移取0</w:t>
      </w:r>
      <w:r>
        <w:rPr>
          <w:rFonts w:hint="eastAsia" w:hAnsi="宋体"/>
          <w:vertAlign w:val="superscript"/>
        </w:rPr>
        <w:t xml:space="preserve"> </w:t>
      </w:r>
      <w:r>
        <w:rPr>
          <w:rFonts w:hint="eastAsia" w:hAnsi="宋体"/>
        </w:rPr>
        <w:t>mL、0.20</w:t>
      </w:r>
      <w:r>
        <w:rPr>
          <w:rFonts w:hint="eastAsia" w:hAnsi="宋体"/>
          <w:vertAlign w:val="superscript"/>
        </w:rPr>
        <w:t xml:space="preserve"> </w:t>
      </w:r>
      <w:r>
        <w:rPr>
          <w:rFonts w:hint="eastAsia" w:hAnsi="宋体"/>
        </w:rPr>
        <w:t>mL、0.40</w:t>
      </w:r>
      <w:r>
        <w:rPr>
          <w:rFonts w:hint="eastAsia" w:hAnsi="宋体"/>
          <w:vertAlign w:val="superscript"/>
        </w:rPr>
        <w:t xml:space="preserve"> </w:t>
      </w:r>
      <w:r>
        <w:rPr>
          <w:rFonts w:hint="eastAsia" w:hAnsi="宋体"/>
        </w:rPr>
        <w:t>mL、0.60</w:t>
      </w:r>
      <w:r>
        <w:rPr>
          <w:rFonts w:hint="eastAsia" w:hAnsi="宋体"/>
          <w:vertAlign w:val="superscript"/>
        </w:rPr>
        <w:t xml:space="preserve"> </w:t>
      </w:r>
      <w:r>
        <w:rPr>
          <w:rFonts w:hint="eastAsia" w:hAnsi="宋体"/>
        </w:rPr>
        <w:t>mL、0.80</w:t>
      </w:r>
      <w:r>
        <w:rPr>
          <w:rFonts w:hint="eastAsia" w:hAnsi="宋体"/>
          <w:vertAlign w:val="superscript"/>
        </w:rPr>
        <w:t xml:space="preserve"> </w:t>
      </w:r>
      <w:r>
        <w:rPr>
          <w:rFonts w:hint="eastAsia" w:hAnsi="宋体"/>
        </w:rPr>
        <w:t>mL、1.00</w:t>
      </w:r>
      <w:r>
        <w:rPr>
          <w:rFonts w:hint="eastAsia" w:hAnsi="宋体"/>
          <w:vertAlign w:val="superscript"/>
        </w:rPr>
        <w:t xml:space="preserve"> </w:t>
      </w:r>
      <w:r>
        <w:rPr>
          <w:rFonts w:hint="eastAsia" w:hAnsi="宋体"/>
        </w:rPr>
        <w:t>mL没食子酸标准溶液至10</w:t>
      </w:r>
      <w:r>
        <w:rPr>
          <w:rFonts w:hint="eastAsia" w:hAnsi="宋体"/>
          <w:vertAlign w:val="superscript"/>
        </w:rPr>
        <w:t xml:space="preserve"> </w:t>
      </w:r>
      <w:r>
        <w:rPr>
          <w:rFonts w:hint="eastAsia" w:hAnsi="宋体"/>
        </w:rPr>
        <w:t>mL具塞比色管中，在每个比色管中分别加入5.0</w:t>
      </w:r>
      <w:r>
        <w:rPr>
          <w:rFonts w:hint="eastAsia" w:hAnsi="宋体"/>
          <w:vertAlign w:val="superscript"/>
        </w:rPr>
        <w:t xml:space="preserve"> </w:t>
      </w:r>
      <w:r>
        <w:rPr>
          <w:rFonts w:hint="eastAsia" w:hAnsi="宋体"/>
        </w:rPr>
        <w:t>mL的10%福林酚试剂，摇匀，反应5</w:t>
      </w:r>
      <w:r>
        <w:rPr>
          <w:rFonts w:hint="eastAsia" w:hAnsi="宋体"/>
          <w:vertAlign w:val="superscript"/>
        </w:rPr>
        <w:t xml:space="preserve"> </w:t>
      </w:r>
      <w:r>
        <w:rPr>
          <w:rFonts w:hint="eastAsia" w:hAnsi="宋体"/>
        </w:rPr>
        <w:t>min，加入4.0</w:t>
      </w:r>
      <w:r>
        <w:rPr>
          <w:rFonts w:hint="eastAsia" w:hAnsi="宋体"/>
          <w:vertAlign w:val="superscript"/>
        </w:rPr>
        <w:t xml:space="preserve"> </w:t>
      </w:r>
      <w:r>
        <w:rPr>
          <w:rFonts w:hint="eastAsia" w:hAnsi="宋体"/>
        </w:rPr>
        <w:t>mL 7.5%碳酸钠溶液，加水定容至刻度，室温下放置60</w:t>
      </w:r>
      <w:r>
        <w:rPr>
          <w:rFonts w:hint="eastAsia" w:hAnsi="宋体"/>
          <w:vertAlign w:val="superscript"/>
        </w:rPr>
        <w:t xml:space="preserve"> </w:t>
      </w:r>
      <w:r>
        <w:rPr>
          <w:rFonts w:hint="eastAsia" w:hAnsi="宋体"/>
        </w:rPr>
        <w:t>min。以试剂空白为参比，在760</w:t>
      </w:r>
      <w:r>
        <w:rPr>
          <w:rFonts w:hint="eastAsia" w:hAnsi="宋体"/>
          <w:vertAlign w:val="superscript"/>
        </w:rPr>
        <w:t xml:space="preserve"> </w:t>
      </w:r>
      <w:r>
        <w:rPr>
          <w:rFonts w:hint="eastAsia" w:hAnsi="宋体"/>
        </w:rPr>
        <w:t>nm处测定其吸光度值。以各标准曲线溶液的没食子酸浓度为横坐标，吸光度值为纵坐标，线性拟合标准曲线。</w:t>
      </w:r>
    </w:p>
    <w:p w14:paraId="2B69FCAB">
      <w:pPr>
        <w:pStyle w:val="79"/>
        <w:spacing w:before="120" w:after="120"/>
        <w:rPr>
          <w:rFonts w:ascii="Times New Roman"/>
        </w:rPr>
      </w:pPr>
      <w:r>
        <w:rPr>
          <w:rFonts w:hint="eastAsia" w:ascii="Times New Roman"/>
        </w:rPr>
        <w:t>样品测定</w:t>
      </w:r>
    </w:p>
    <w:p w14:paraId="73C69F5D">
      <w:pPr>
        <w:pStyle w:val="56"/>
        <w:ind w:firstLine="420"/>
        <w:rPr>
          <w:rFonts w:ascii="Times New Roman"/>
        </w:rPr>
      </w:pPr>
      <w:r>
        <w:rPr>
          <w:rFonts w:hint="eastAsia" w:ascii="Times New Roman"/>
        </w:rPr>
        <w:t>取上述已显色的供试品溶液，以试剂空白为参比，</w:t>
      </w:r>
      <w:r>
        <w:rPr>
          <w:rFonts w:hint="eastAsia" w:hAnsi="宋体"/>
        </w:rPr>
        <w:t>在760</w:t>
      </w:r>
      <w:r>
        <w:rPr>
          <w:rFonts w:hint="eastAsia" w:hAnsi="宋体"/>
          <w:vertAlign w:val="superscript"/>
        </w:rPr>
        <w:t xml:space="preserve"> </w:t>
      </w:r>
      <w:r>
        <w:rPr>
          <w:rFonts w:hint="eastAsia" w:hAnsi="宋体"/>
        </w:rPr>
        <w:t>nm处测定其吸光度值。</w:t>
      </w:r>
    </w:p>
    <w:p w14:paraId="544DCDD4">
      <w:pPr>
        <w:pStyle w:val="79"/>
        <w:spacing w:before="120" w:after="120"/>
        <w:rPr>
          <w:rFonts w:ascii="Times New Roman"/>
        </w:rPr>
      </w:pPr>
      <w:r>
        <w:rPr>
          <w:rFonts w:hint="eastAsia" w:ascii="Times New Roman"/>
        </w:rPr>
        <w:t>结果计算</w:t>
      </w:r>
    </w:p>
    <w:p w14:paraId="28F3889D">
      <w:pPr>
        <w:pStyle w:val="213"/>
        <w:rPr>
          <w:rFonts w:ascii="Times New Roman"/>
        </w:rPr>
      </w:pPr>
      <w:r>
        <w:rPr>
          <w:rFonts w:hint="eastAsia" w:ascii="Times New Roman"/>
        </w:rPr>
        <w:t>根据标准曲线拟合方程计算出样品中总多酚含量</w:t>
      </w:r>
      <w:r>
        <w:rPr>
          <w:rFonts w:hint="eastAsia" w:hAnsi="宋体"/>
        </w:rPr>
        <w:t>（%）。</w:t>
      </w:r>
    </w:p>
    <w:p w14:paraId="3E51E7D2">
      <w:pPr>
        <w:pStyle w:val="213"/>
        <w:rPr>
          <w:rFonts w:ascii="Times New Roman"/>
        </w:rPr>
      </w:pPr>
      <w:r>
        <w:rPr>
          <w:rFonts w:hint="eastAsia" w:ascii="Times New Roman"/>
        </w:rPr>
        <w:t>计算结果表示到小数点后两位。</w:t>
      </w:r>
    </w:p>
    <w:p w14:paraId="48F56041">
      <w:pPr>
        <w:pStyle w:val="213"/>
        <w:rPr>
          <w:rFonts w:hAnsi="宋体"/>
        </w:rPr>
      </w:pPr>
      <w:bookmarkStart w:id="59" w:name="OLE_LINK17"/>
      <w:r>
        <w:rPr>
          <w:rFonts w:hint="eastAsia" w:ascii="Times New Roman"/>
        </w:rPr>
        <w:t>在重复性条件下获得的两次独立测定结果的绝对差值不得超过算术平均值</w:t>
      </w:r>
      <w:r>
        <w:rPr>
          <w:rFonts w:hint="eastAsia" w:hAnsi="宋体"/>
        </w:rPr>
        <w:t>的10%。</w:t>
      </w:r>
      <w:bookmarkEnd w:id="59"/>
    </w:p>
    <w:p w14:paraId="020F781B">
      <w:pPr>
        <w:pStyle w:val="56"/>
        <w:ind w:firstLine="420"/>
        <w:rPr>
          <w:rFonts w:ascii="Times New Roman"/>
        </w:rPr>
        <w:sectPr>
          <w:pgSz w:w="11906" w:h="16838"/>
          <w:pgMar w:top="1928" w:right="1134" w:bottom="1134" w:left="1134" w:header="1418" w:footer="1134" w:gutter="284"/>
          <w:cols w:space="425" w:num="1"/>
          <w:formProt w:val="0"/>
          <w:docGrid w:linePitch="312" w:charSpace="0"/>
        </w:sectPr>
      </w:pPr>
    </w:p>
    <w:p w14:paraId="1A7EE7E8">
      <w:pPr>
        <w:pStyle w:val="198"/>
        <w:rPr>
          <w:rFonts w:ascii="Times New Roman" w:hAnsi="Times New Roman"/>
          <w:vanish w:val="0"/>
        </w:rPr>
      </w:pPr>
    </w:p>
    <w:p w14:paraId="6B183CA1">
      <w:pPr>
        <w:pStyle w:val="199"/>
        <w:rPr>
          <w:rFonts w:ascii="Times New Roman"/>
          <w:vanish w:val="0"/>
        </w:rPr>
      </w:pPr>
    </w:p>
    <w:p w14:paraId="5809FFDC">
      <w:pPr>
        <w:pStyle w:val="76"/>
        <w:spacing w:after="120"/>
        <w:rPr>
          <w:rFonts w:ascii="Times New Roman"/>
        </w:rPr>
      </w:pPr>
      <w:r>
        <w:rPr>
          <w:rFonts w:ascii="Times New Roman"/>
        </w:rPr>
        <w:br w:type="textWrapping"/>
      </w:r>
      <w:r>
        <w:rPr>
          <w:rFonts w:hint="eastAsia" w:ascii="Times New Roman"/>
        </w:rPr>
        <w:t>（规范性）</w:t>
      </w:r>
      <w:r>
        <w:rPr>
          <w:rFonts w:ascii="Times New Roman"/>
        </w:rPr>
        <w:br w:type="textWrapping"/>
      </w:r>
      <w:r>
        <w:rPr>
          <w:rFonts w:hint="eastAsia" w:ascii="Times New Roman"/>
        </w:rPr>
        <w:t>总黄酮含量测定方法</w:t>
      </w:r>
    </w:p>
    <w:p w14:paraId="1B058B66">
      <w:pPr>
        <w:pStyle w:val="78"/>
        <w:spacing w:before="120" w:after="120"/>
        <w:rPr>
          <w:rFonts w:ascii="Times New Roman"/>
        </w:rPr>
      </w:pPr>
      <w:r>
        <w:rPr>
          <w:rFonts w:hint="eastAsia" w:ascii="Times New Roman"/>
        </w:rPr>
        <w:t>原理</w:t>
      </w:r>
    </w:p>
    <w:p w14:paraId="05FC63CB">
      <w:pPr>
        <w:pStyle w:val="56"/>
        <w:ind w:firstLine="420"/>
      </w:pPr>
      <w:r>
        <w:rPr>
          <w:rFonts w:hint="eastAsia"/>
        </w:rPr>
        <w:t>黄酮类化合物是具有苯并吡喃环结构的一类天然化合物的总称，本方法利用其与铝盐进行络合反应，在碱性条件下生成黄色的络合物，在420</w:t>
      </w:r>
      <w:r>
        <w:rPr>
          <w:rFonts w:hint="eastAsia"/>
          <w:vertAlign w:val="superscript"/>
        </w:rPr>
        <w:t xml:space="preserve"> </w:t>
      </w:r>
      <w:r>
        <w:rPr>
          <w:rFonts w:hint="eastAsia"/>
        </w:rPr>
        <w:t>nm波长下测定其吸光度，在一定浓度范围内，其吸光度与黄酮类化合物的含量成正比。与芦丁标准品比较，进行待测物中总黄酮的定量测定。</w:t>
      </w:r>
    </w:p>
    <w:p w14:paraId="2C8640E9">
      <w:pPr>
        <w:pStyle w:val="78"/>
        <w:spacing w:before="120" w:after="120"/>
        <w:rPr>
          <w:rFonts w:ascii="Times New Roman"/>
        </w:rPr>
      </w:pPr>
      <w:r>
        <w:rPr>
          <w:rFonts w:hint="eastAsia" w:ascii="Times New Roman"/>
        </w:rPr>
        <w:t>试剂</w:t>
      </w:r>
    </w:p>
    <w:p w14:paraId="5F3A5C87">
      <w:pPr>
        <w:pStyle w:val="212"/>
        <w:rPr>
          <w:rFonts w:hAnsi="宋体"/>
        </w:rPr>
      </w:pPr>
      <w:r>
        <w:rPr>
          <w:rFonts w:hint="eastAsia" w:hAnsi="宋体"/>
        </w:rPr>
        <w:t>硝酸铝[Al(NO</w:t>
      </w:r>
      <w:r>
        <w:rPr>
          <w:rFonts w:hint="eastAsia" w:hAnsi="宋体"/>
          <w:vertAlign w:val="subscript"/>
        </w:rPr>
        <w:t>3</w:t>
      </w:r>
      <w:r>
        <w:rPr>
          <w:rFonts w:hint="eastAsia" w:hAnsi="宋体"/>
        </w:rPr>
        <w:t>)</w:t>
      </w:r>
      <w:r>
        <w:rPr>
          <w:rFonts w:hint="eastAsia" w:hAnsi="宋体"/>
          <w:vertAlign w:val="subscript"/>
        </w:rPr>
        <w:t>3</w:t>
      </w:r>
      <w:r>
        <w:rPr>
          <w:rFonts w:hint="eastAsia" w:hAnsi="宋体"/>
        </w:rPr>
        <w:t>·9H</w:t>
      </w:r>
      <w:r>
        <w:rPr>
          <w:rFonts w:hint="eastAsia" w:hAnsi="宋体"/>
          <w:vertAlign w:val="subscript"/>
        </w:rPr>
        <w:t>2</w:t>
      </w:r>
      <w:r>
        <w:rPr>
          <w:rFonts w:hint="eastAsia" w:hAnsi="宋体"/>
        </w:rPr>
        <w:t>O]。</w:t>
      </w:r>
    </w:p>
    <w:p w14:paraId="732C43DA">
      <w:pPr>
        <w:pStyle w:val="212"/>
        <w:rPr>
          <w:rFonts w:hAnsi="宋体"/>
        </w:rPr>
      </w:pPr>
      <w:r>
        <w:rPr>
          <w:rFonts w:hint="eastAsia" w:hAnsi="宋体"/>
        </w:rPr>
        <w:t>硝酸铝溶液（100</w:t>
      </w:r>
      <w:r>
        <w:rPr>
          <w:rFonts w:hint="eastAsia" w:hAnsi="宋体"/>
          <w:vertAlign w:val="superscript"/>
        </w:rPr>
        <w:t xml:space="preserve"> </w:t>
      </w:r>
      <w:r>
        <w:rPr>
          <w:rFonts w:hint="eastAsia" w:hAnsi="宋体"/>
        </w:rPr>
        <w:t>g/L）：称取Al(NO</w:t>
      </w:r>
      <w:r>
        <w:rPr>
          <w:rFonts w:hint="eastAsia" w:hAnsi="宋体"/>
          <w:vertAlign w:val="subscript"/>
        </w:rPr>
        <w:t>3</w:t>
      </w:r>
      <w:r>
        <w:rPr>
          <w:rFonts w:hint="eastAsia" w:hAnsi="宋体"/>
        </w:rPr>
        <w:t>)</w:t>
      </w:r>
      <w:r>
        <w:rPr>
          <w:rFonts w:hint="eastAsia" w:hAnsi="宋体"/>
          <w:vertAlign w:val="subscript"/>
        </w:rPr>
        <w:t>3</w:t>
      </w:r>
      <w:r>
        <w:rPr>
          <w:rFonts w:hint="eastAsia" w:hAnsi="宋体"/>
        </w:rPr>
        <w:t>·9H</w:t>
      </w:r>
      <w:r>
        <w:rPr>
          <w:rFonts w:hint="eastAsia" w:hAnsi="宋体"/>
          <w:vertAlign w:val="subscript"/>
        </w:rPr>
        <w:t>2</w:t>
      </w:r>
      <w:r>
        <w:rPr>
          <w:rFonts w:hint="eastAsia" w:hAnsi="宋体"/>
        </w:rPr>
        <w:t>O 17.6</w:t>
      </w:r>
      <w:r>
        <w:rPr>
          <w:rFonts w:hint="eastAsia" w:hAnsi="宋体"/>
          <w:w w:val="50"/>
        </w:rPr>
        <w:t xml:space="preserve"> </w:t>
      </w:r>
      <w:r>
        <w:rPr>
          <w:rFonts w:hint="eastAsia" w:hAnsi="宋体"/>
        </w:rPr>
        <w:t>g，加水溶解，定容于100</w:t>
      </w:r>
      <w:r>
        <w:rPr>
          <w:rFonts w:hint="eastAsia" w:hAnsi="宋体"/>
          <w:w w:val="50"/>
        </w:rPr>
        <w:t xml:space="preserve"> </w:t>
      </w:r>
      <w:r>
        <w:rPr>
          <w:rFonts w:hint="eastAsia" w:hAnsi="宋体"/>
        </w:rPr>
        <w:t>mL容量瓶中。</w:t>
      </w:r>
    </w:p>
    <w:p w14:paraId="1117DC29">
      <w:pPr>
        <w:pStyle w:val="212"/>
        <w:rPr>
          <w:rFonts w:hAnsi="宋体"/>
        </w:rPr>
      </w:pPr>
      <w:r>
        <w:rPr>
          <w:rFonts w:hint="eastAsia" w:hAnsi="宋体"/>
        </w:rPr>
        <w:t>醋酸钾（CH</w:t>
      </w:r>
      <w:r>
        <w:rPr>
          <w:rFonts w:hint="eastAsia" w:hAnsi="宋体"/>
          <w:vertAlign w:val="subscript"/>
        </w:rPr>
        <w:t>3</w:t>
      </w:r>
      <w:r>
        <w:rPr>
          <w:rFonts w:hint="eastAsia" w:hAnsi="宋体"/>
        </w:rPr>
        <w:t>COOK）。</w:t>
      </w:r>
    </w:p>
    <w:p w14:paraId="25934FC7">
      <w:pPr>
        <w:pStyle w:val="212"/>
        <w:rPr>
          <w:rFonts w:hAnsi="宋体"/>
        </w:rPr>
      </w:pPr>
      <w:r>
        <w:rPr>
          <w:rFonts w:hint="eastAsia" w:hAnsi="宋体"/>
        </w:rPr>
        <w:t>醋酸钾溶液（98</w:t>
      </w:r>
      <w:r>
        <w:rPr>
          <w:rFonts w:hint="eastAsia" w:hAnsi="宋体"/>
          <w:vertAlign w:val="superscript"/>
        </w:rPr>
        <w:t xml:space="preserve"> </w:t>
      </w:r>
      <w:r>
        <w:rPr>
          <w:rFonts w:hint="eastAsia" w:hAnsi="宋体"/>
        </w:rPr>
        <w:t>g/L）：称取醋酸钾9.814</w:t>
      </w:r>
      <w:r>
        <w:rPr>
          <w:rFonts w:hint="eastAsia" w:hAnsi="宋体"/>
          <w:w w:val="50"/>
        </w:rPr>
        <w:t xml:space="preserve"> </w:t>
      </w:r>
      <w:r>
        <w:rPr>
          <w:rFonts w:hint="eastAsia" w:hAnsi="宋体"/>
        </w:rPr>
        <w:t>g，加水溶解，定容于100</w:t>
      </w:r>
      <w:r>
        <w:rPr>
          <w:rFonts w:hint="eastAsia" w:hAnsi="宋体"/>
          <w:w w:val="50"/>
        </w:rPr>
        <w:t xml:space="preserve"> </w:t>
      </w:r>
      <w:r>
        <w:rPr>
          <w:rFonts w:hint="eastAsia" w:hAnsi="宋体"/>
        </w:rPr>
        <w:t>mL容量瓶中。</w:t>
      </w:r>
    </w:p>
    <w:p w14:paraId="7772FAAF">
      <w:pPr>
        <w:pStyle w:val="212"/>
        <w:rPr>
          <w:rFonts w:hAnsi="宋体"/>
        </w:rPr>
      </w:pPr>
      <w:r>
        <w:rPr>
          <w:rFonts w:hint="eastAsia" w:hAnsi="宋体"/>
        </w:rPr>
        <w:t>芦丁标准品，CAS号153-18-4。</w:t>
      </w:r>
    </w:p>
    <w:p w14:paraId="1AD17DE1">
      <w:pPr>
        <w:pStyle w:val="212"/>
        <w:rPr>
          <w:rFonts w:hAnsi="宋体"/>
        </w:rPr>
      </w:pPr>
      <w:r>
        <w:rPr>
          <w:rFonts w:hint="eastAsia" w:hAnsi="宋体"/>
        </w:rPr>
        <w:t>芦丁标准溶液：精密称取经干燥（120</w:t>
      </w:r>
      <w:r>
        <w:rPr>
          <w:rFonts w:hint="eastAsia" w:hAnsi="宋体"/>
          <w:vertAlign w:val="superscript"/>
        </w:rPr>
        <w:t xml:space="preserve"> </w:t>
      </w:r>
      <w:r>
        <w:rPr>
          <w:rFonts w:hint="eastAsia" w:hAnsi="宋体"/>
        </w:rPr>
        <w:t>℃减压干燥）至恒重的芦丁标准品100</w:t>
      </w:r>
      <w:r>
        <w:rPr>
          <w:rFonts w:hint="eastAsia" w:hAnsi="宋体"/>
          <w:w w:val="50"/>
          <w:vertAlign w:val="superscript"/>
        </w:rPr>
        <w:t xml:space="preserve"> </w:t>
      </w:r>
      <w:r>
        <w:rPr>
          <w:rFonts w:hint="eastAsia" w:hAnsi="宋体"/>
        </w:rPr>
        <w:t>mg，使用无水乙醇溶解并定容于100</w:t>
      </w:r>
      <w:r>
        <w:rPr>
          <w:rFonts w:hint="eastAsia" w:hAnsi="宋体"/>
          <w:w w:val="50"/>
        </w:rPr>
        <w:t xml:space="preserve"> </w:t>
      </w:r>
      <w:r>
        <w:rPr>
          <w:rFonts w:hint="eastAsia" w:hAnsi="宋体"/>
        </w:rPr>
        <w:t>mL容量瓶中，浓度为1</w:t>
      </w:r>
      <w:r>
        <w:rPr>
          <w:rFonts w:hint="eastAsia" w:hAnsi="宋体"/>
          <w:w w:val="50"/>
        </w:rPr>
        <w:t xml:space="preserve"> </w:t>
      </w:r>
      <w:r>
        <w:rPr>
          <w:rFonts w:hint="eastAsia" w:hAnsi="宋体"/>
        </w:rPr>
        <w:t>mg/mL。</w:t>
      </w:r>
    </w:p>
    <w:p w14:paraId="2E4D23CF">
      <w:pPr>
        <w:pStyle w:val="212"/>
        <w:rPr>
          <w:rFonts w:hAnsi="宋体"/>
        </w:rPr>
      </w:pPr>
      <w:r>
        <w:rPr>
          <w:rFonts w:hint="eastAsia" w:hAnsi="宋体"/>
        </w:rPr>
        <w:t>无水乙醇（C</w:t>
      </w:r>
      <w:r>
        <w:rPr>
          <w:rFonts w:hint="eastAsia" w:hAnsi="宋体"/>
          <w:vertAlign w:val="subscript"/>
        </w:rPr>
        <w:t>2</w:t>
      </w:r>
      <w:r>
        <w:rPr>
          <w:rFonts w:hint="eastAsia" w:hAnsi="宋体"/>
        </w:rPr>
        <w:t>H</w:t>
      </w:r>
      <w:r>
        <w:rPr>
          <w:rFonts w:hint="eastAsia" w:hAnsi="宋体"/>
          <w:vertAlign w:val="subscript"/>
        </w:rPr>
        <w:t>5</w:t>
      </w:r>
      <w:r>
        <w:rPr>
          <w:rFonts w:hint="eastAsia" w:hAnsi="宋体"/>
        </w:rPr>
        <w:t>OH）。</w:t>
      </w:r>
    </w:p>
    <w:p w14:paraId="609C2225">
      <w:pPr>
        <w:pStyle w:val="212"/>
        <w:rPr>
          <w:rFonts w:hAnsi="宋体"/>
        </w:rPr>
      </w:pPr>
      <w:r>
        <w:rPr>
          <w:rFonts w:hint="eastAsia" w:hAnsi="宋体"/>
        </w:rPr>
        <w:t>30%乙醇（无水乙醇与蒸馏水按3:7比例配制）。</w:t>
      </w:r>
    </w:p>
    <w:p w14:paraId="221A2F67">
      <w:pPr>
        <w:pStyle w:val="78"/>
        <w:spacing w:before="120" w:after="120"/>
        <w:rPr>
          <w:rFonts w:ascii="Times New Roman"/>
        </w:rPr>
      </w:pPr>
      <w:r>
        <w:rPr>
          <w:rFonts w:hint="eastAsia" w:ascii="Times New Roman"/>
        </w:rPr>
        <w:t>仪器</w:t>
      </w:r>
    </w:p>
    <w:p w14:paraId="08F622E7">
      <w:pPr>
        <w:pStyle w:val="212"/>
        <w:rPr>
          <w:rFonts w:hAnsi="宋体"/>
        </w:rPr>
      </w:pPr>
      <w:r>
        <w:rPr>
          <w:rFonts w:hint="eastAsia" w:hAnsi="宋体"/>
        </w:rPr>
        <w:t>可见分光光度计，采用1</w:t>
      </w:r>
      <w:r>
        <w:rPr>
          <w:rFonts w:hint="eastAsia" w:hAnsi="宋体"/>
          <w:w w:val="50"/>
          <w:vertAlign w:val="superscript"/>
        </w:rPr>
        <w:t xml:space="preserve"> </w:t>
      </w:r>
      <w:r>
        <w:rPr>
          <w:rFonts w:hint="eastAsia" w:hAnsi="宋体"/>
        </w:rPr>
        <w:t>cm比色皿。</w:t>
      </w:r>
    </w:p>
    <w:p w14:paraId="0973580B">
      <w:pPr>
        <w:pStyle w:val="212"/>
        <w:rPr>
          <w:rFonts w:hAnsi="宋体"/>
        </w:rPr>
      </w:pPr>
      <w:r>
        <w:rPr>
          <w:rFonts w:hint="eastAsia" w:hAnsi="宋体"/>
        </w:rPr>
        <w:t>分析天平：感量0.000</w:t>
      </w:r>
      <w:r>
        <w:rPr>
          <w:rFonts w:hint="eastAsia" w:hAnsi="宋体"/>
          <w:vertAlign w:val="superscript"/>
        </w:rPr>
        <w:t xml:space="preserve"> </w:t>
      </w:r>
      <w:r>
        <w:rPr>
          <w:rFonts w:hint="eastAsia" w:hAnsi="宋体"/>
        </w:rPr>
        <w:t>1</w:t>
      </w:r>
      <w:r>
        <w:rPr>
          <w:rFonts w:hint="eastAsia" w:hAnsi="宋体"/>
          <w:w w:val="50"/>
          <w:vertAlign w:val="superscript"/>
        </w:rPr>
        <w:t xml:space="preserve"> </w:t>
      </w:r>
      <w:r>
        <w:rPr>
          <w:rFonts w:hint="eastAsia" w:hAnsi="宋体"/>
        </w:rPr>
        <w:t>g。</w:t>
      </w:r>
    </w:p>
    <w:p w14:paraId="3AF762C0">
      <w:pPr>
        <w:pStyle w:val="78"/>
        <w:spacing w:before="120" w:after="120"/>
        <w:rPr>
          <w:rFonts w:ascii="Times New Roman"/>
        </w:rPr>
      </w:pPr>
      <w:r>
        <w:rPr>
          <w:rFonts w:hint="eastAsia" w:ascii="Times New Roman"/>
        </w:rPr>
        <w:t>测定方法</w:t>
      </w:r>
    </w:p>
    <w:p w14:paraId="31B518B6">
      <w:pPr>
        <w:pStyle w:val="79"/>
        <w:spacing w:before="120" w:after="120"/>
        <w:rPr>
          <w:rFonts w:ascii="Times New Roman"/>
        </w:rPr>
      </w:pPr>
      <w:r>
        <w:rPr>
          <w:rFonts w:hint="eastAsia" w:ascii="Times New Roman"/>
        </w:rPr>
        <w:t>样品处理</w:t>
      </w:r>
    </w:p>
    <w:p w14:paraId="3C05918F">
      <w:pPr>
        <w:pStyle w:val="56"/>
        <w:ind w:firstLine="420"/>
      </w:pPr>
      <w:r>
        <w:rPr>
          <w:rFonts w:hint="eastAsia"/>
        </w:rPr>
        <w:t>精密移取待测样品溶液1.00</w:t>
      </w:r>
      <w:r>
        <w:rPr>
          <w:rFonts w:hint="eastAsia"/>
          <w:vertAlign w:val="superscript"/>
        </w:rPr>
        <w:t xml:space="preserve"> </w:t>
      </w:r>
      <w:r>
        <w:rPr>
          <w:rFonts w:hint="eastAsia"/>
        </w:rPr>
        <w:t>mL至25</w:t>
      </w:r>
      <w:r>
        <w:rPr>
          <w:rFonts w:hint="eastAsia"/>
          <w:vertAlign w:val="superscript"/>
        </w:rPr>
        <w:t xml:space="preserve"> </w:t>
      </w:r>
      <w:r>
        <w:rPr>
          <w:rFonts w:hint="eastAsia"/>
        </w:rPr>
        <w:t>mL容量瓶中，用无水乙醇定容至刻度，摇匀，待测。</w:t>
      </w:r>
    </w:p>
    <w:p w14:paraId="2143A55D">
      <w:pPr>
        <w:pStyle w:val="79"/>
        <w:spacing w:before="120" w:after="120"/>
        <w:rPr>
          <w:rFonts w:ascii="Times New Roman"/>
        </w:rPr>
      </w:pPr>
      <w:r>
        <w:rPr>
          <w:rFonts w:hint="eastAsia" w:ascii="Times New Roman"/>
        </w:rPr>
        <w:t>标准曲线的绘制</w:t>
      </w:r>
    </w:p>
    <w:p w14:paraId="7FC5842B">
      <w:pPr>
        <w:pStyle w:val="56"/>
        <w:ind w:firstLine="420"/>
      </w:pPr>
      <w:r>
        <w:rPr>
          <w:rFonts w:hint="eastAsia"/>
        </w:rPr>
        <w:t>分别精密吸取1.00</w:t>
      </w:r>
      <w:r>
        <w:rPr>
          <w:rFonts w:hint="eastAsia"/>
          <w:vertAlign w:val="superscript"/>
        </w:rPr>
        <w:t xml:space="preserve"> </w:t>
      </w:r>
      <w:r>
        <w:rPr>
          <w:rFonts w:hint="eastAsia"/>
        </w:rPr>
        <w:t>mL、2.00</w:t>
      </w:r>
      <w:r>
        <w:rPr>
          <w:rFonts w:hint="eastAsia"/>
          <w:vertAlign w:val="superscript"/>
        </w:rPr>
        <w:t xml:space="preserve"> </w:t>
      </w:r>
      <w:r>
        <w:rPr>
          <w:rFonts w:hint="eastAsia"/>
        </w:rPr>
        <w:t>mL、3.00</w:t>
      </w:r>
      <w:r>
        <w:rPr>
          <w:rFonts w:hint="eastAsia"/>
          <w:vertAlign w:val="superscript"/>
        </w:rPr>
        <w:t xml:space="preserve"> </w:t>
      </w:r>
      <w:r>
        <w:rPr>
          <w:rFonts w:hint="eastAsia"/>
        </w:rPr>
        <w:t>mL、4.00</w:t>
      </w:r>
      <w:r>
        <w:rPr>
          <w:rFonts w:hint="eastAsia"/>
          <w:vertAlign w:val="superscript"/>
        </w:rPr>
        <w:t xml:space="preserve"> </w:t>
      </w:r>
      <w:r>
        <w:rPr>
          <w:rFonts w:hint="eastAsia"/>
        </w:rPr>
        <w:t>mL、5.00</w:t>
      </w:r>
      <w:r>
        <w:rPr>
          <w:rFonts w:hint="eastAsia"/>
          <w:vertAlign w:val="superscript"/>
        </w:rPr>
        <w:t xml:space="preserve"> </w:t>
      </w:r>
      <w:r>
        <w:rPr>
          <w:rFonts w:hint="eastAsia"/>
        </w:rPr>
        <w:t>mL芦丁标准溶液置于50</w:t>
      </w:r>
      <w:r>
        <w:rPr>
          <w:rFonts w:hint="eastAsia"/>
          <w:vertAlign w:val="superscript"/>
        </w:rPr>
        <w:t xml:space="preserve"> </w:t>
      </w:r>
      <w:r>
        <w:rPr>
          <w:rFonts w:hint="eastAsia"/>
        </w:rPr>
        <w:t>mL容量瓶中，分别加无水乙醇至总体积为15</w:t>
      </w:r>
      <w:r>
        <w:rPr>
          <w:rFonts w:hint="eastAsia"/>
          <w:vertAlign w:val="superscript"/>
        </w:rPr>
        <w:t xml:space="preserve"> </w:t>
      </w:r>
      <w:r>
        <w:rPr>
          <w:rFonts w:hint="eastAsia"/>
        </w:rPr>
        <w:t>mL，依次加入硝酸铝溶液1</w:t>
      </w:r>
      <w:r>
        <w:rPr>
          <w:rFonts w:hint="eastAsia"/>
          <w:w w:val="50"/>
        </w:rPr>
        <w:t xml:space="preserve"> </w:t>
      </w:r>
      <w:r>
        <w:rPr>
          <w:rFonts w:hint="eastAsia"/>
        </w:rPr>
        <w:t>mL，醋酸钾溶液1</w:t>
      </w:r>
      <w:r>
        <w:rPr>
          <w:rFonts w:hint="eastAsia"/>
          <w:vertAlign w:val="superscript"/>
        </w:rPr>
        <w:t xml:space="preserve"> </w:t>
      </w:r>
      <w:r>
        <w:rPr>
          <w:rFonts w:hint="eastAsia"/>
        </w:rPr>
        <w:t>mL，摇匀，加水至刻度，摇匀。静置1</w:t>
      </w:r>
      <w:r>
        <w:rPr>
          <w:rFonts w:hint="eastAsia"/>
          <w:vertAlign w:val="superscript"/>
        </w:rPr>
        <w:t xml:space="preserve"> </w:t>
      </w:r>
      <w:r>
        <w:rPr>
          <w:rFonts w:hint="eastAsia"/>
        </w:rPr>
        <w:t>h，用1</w:t>
      </w:r>
      <w:r>
        <w:rPr>
          <w:rFonts w:hint="eastAsia"/>
          <w:vertAlign w:val="superscript"/>
        </w:rPr>
        <w:t xml:space="preserve"> </w:t>
      </w:r>
      <w:r>
        <w:rPr>
          <w:rFonts w:hint="eastAsia"/>
        </w:rPr>
        <w:t>cm比色皿于420</w:t>
      </w:r>
      <w:r>
        <w:rPr>
          <w:rFonts w:hint="eastAsia"/>
          <w:vertAlign w:val="superscript"/>
        </w:rPr>
        <w:t xml:space="preserve"> </w:t>
      </w:r>
      <w:r>
        <w:rPr>
          <w:rFonts w:hint="eastAsia"/>
        </w:rPr>
        <w:t>nm处，以30%乙醇溶液为空白，测定吸光度。以50</w:t>
      </w:r>
      <w:r>
        <w:rPr>
          <w:rFonts w:hint="eastAsia"/>
          <w:vertAlign w:val="superscript"/>
        </w:rPr>
        <w:t xml:space="preserve"> </w:t>
      </w:r>
      <w:r>
        <w:rPr>
          <w:rFonts w:hint="eastAsia"/>
        </w:rPr>
        <w:t>mL中芦丁质量（mg）为横坐标，吸光度为纵坐标，绘制标准曲线或按直线回归方程计算。</w:t>
      </w:r>
    </w:p>
    <w:p w14:paraId="46467BF0">
      <w:pPr>
        <w:pStyle w:val="79"/>
        <w:spacing w:before="120" w:after="120"/>
        <w:rPr>
          <w:rFonts w:ascii="Times New Roman"/>
        </w:rPr>
      </w:pPr>
      <w:r>
        <w:rPr>
          <w:rFonts w:hint="eastAsia" w:ascii="Times New Roman"/>
        </w:rPr>
        <w:t>样品测定</w:t>
      </w:r>
    </w:p>
    <w:p w14:paraId="247A4EFD">
      <w:pPr>
        <w:pStyle w:val="213"/>
      </w:pPr>
      <w:r>
        <w:rPr>
          <w:rFonts w:hint="eastAsia"/>
        </w:rPr>
        <w:t>精密吸取待测样品溶液1.0</w:t>
      </w:r>
      <w:r>
        <w:rPr>
          <w:rFonts w:hint="eastAsia"/>
          <w:w w:val="50"/>
        </w:rPr>
        <w:t xml:space="preserve"> </w:t>
      </w:r>
      <w:r>
        <w:rPr>
          <w:rFonts w:hint="eastAsia"/>
        </w:rPr>
        <w:t>mL，置于50</w:t>
      </w:r>
      <w:r>
        <w:rPr>
          <w:rFonts w:hint="eastAsia"/>
          <w:w w:val="50"/>
        </w:rPr>
        <w:t xml:space="preserve"> </w:t>
      </w:r>
      <w:r>
        <w:rPr>
          <w:rFonts w:hint="eastAsia"/>
        </w:rPr>
        <w:t>mL容量瓶中，按B.4.2进行操作。以空白试液作参比，用1</w:t>
      </w:r>
      <w:r>
        <w:rPr>
          <w:rFonts w:hint="eastAsia"/>
          <w:vertAlign w:val="superscript"/>
        </w:rPr>
        <w:t xml:space="preserve"> </w:t>
      </w:r>
      <w:r>
        <w:rPr>
          <w:rFonts w:hint="eastAsia"/>
        </w:rPr>
        <w:t>cm比色杯，在波长420</w:t>
      </w:r>
      <w:r>
        <w:rPr>
          <w:rFonts w:hint="eastAsia"/>
          <w:vertAlign w:val="superscript"/>
        </w:rPr>
        <w:t xml:space="preserve"> </w:t>
      </w:r>
      <w:r>
        <w:rPr>
          <w:rFonts w:hint="eastAsia"/>
        </w:rPr>
        <w:t>nm处测定试料溶液的吸光度。</w:t>
      </w:r>
    </w:p>
    <w:p w14:paraId="2D445F98">
      <w:pPr>
        <w:pStyle w:val="213"/>
      </w:pPr>
      <w:r>
        <w:rPr>
          <w:rFonts w:hint="eastAsia"/>
        </w:rPr>
        <w:t>查标准曲线或通过回归方程计算，求出试料溶液中的黄酮类化合物含量（mg）。在标准曲线上求得样液中的浓度，其吸光度值应在标准曲线的线性范围内。</w:t>
      </w:r>
    </w:p>
    <w:p w14:paraId="14DC4D60">
      <w:pPr>
        <w:pStyle w:val="78"/>
        <w:spacing w:before="120" w:after="120"/>
        <w:rPr>
          <w:rFonts w:ascii="Times New Roman"/>
        </w:rPr>
      </w:pPr>
      <w:r>
        <w:rPr>
          <w:rFonts w:hint="eastAsia" w:ascii="Times New Roman"/>
        </w:rPr>
        <w:t>结果计算</w:t>
      </w:r>
    </w:p>
    <w:p w14:paraId="17B676CA">
      <w:pPr>
        <w:pStyle w:val="56"/>
        <w:ind w:firstLine="420"/>
      </w:pPr>
      <w:r>
        <w:rPr>
          <w:rFonts w:hint="eastAsia"/>
        </w:rPr>
        <w:t>提取物中总黄酮含量按式</w:t>
      </w:r>
      <w:r>
        <w:t>B.</w:t>
      </w:r>
      <w:r>
        <w:fldChar w:fldCharType="begin"/>
      </w:r>
      <w:r>
        <w:instrText xml:space="preserve"> seq fulu_equation_133952107178898057 </w:instrText>
      </w:r>
      <w:r>
        <w:fldChar w:fldCharType="separate"/>
      </w:r>
      <w:r>
        <w:rPr>
          <w:rFonts w:hint="eastAsia"/>
        </w:rPr>
        <w:t>1</w:t>
      </w:r>
      <w:r>
        <w:fldChar w:fldCharType="end"/>
      </w:r>
      <w:r>
        <w:rPr>
          <w:rFonts w:hint="eastAsia"/>
        </w:rPr>
        <w:t>计算。</w:t>
      </w:r>
    </w:p>
    <w:p w14:paraId="41997BED">
      <w:pPr>
        <w:pStyle w:val="113"/>
        <w:rPr>
          <w:rFonts w:ascii="Times New Roman" w:hAnsi="Times New Roman"/>
        </w:rPr>
      </w:pPr>
      <w:r>
        <w:rPr>
          <w:rFonts w:hint="eastAsia" w:ascii="Times New Roman" w:hAnsi="Times New Roman"/>
        </w:rPr>
        <w:tab/>
      </w:r>
      <m:oMath>
        <m:r>
          <m:rPr/>
          <w:rPr>
            <w:rFonts w:ascii="Cambria Math" w:hAnsi="Cambria Math"/>
          </w:rPr>
          <m:t>X=</m:t>
        </m:r>
        <m:f>
          <m:fPr>
            <m:ctrlPr>
              <w:rPr>
                <w:rFonts w:ascii="Cambria Math" w:hAnsi="Cambria Math"/>
                <w:i/>
              </w:rPr>
            </m:ctrlPr>
          </m:fPr>
          <m:num>
            <m:r>
              <m:rPr/>
              <w:rPr>
                <w:rFonts w:ascii="Cambria Math" w:hAnsi="Cambria Math"/>
              </w:rPr>
              <m:t>m×d</m:t>
            </m:r>
            <m:ctrlPr>
              <w:rPr>
                <w:rFonts w:ascii="Cambria Math" w:hAnsi="Cambria Math"/>
                <w:i/>
              </w:rPr>
            </m:ctrlPr>
          </m:num>
          <m:den>
            <m:r>
              <m:rPr/>
              <w:rPr>
                <w:rFonts w:ascii="Cambria Math" w:hAnsi="Cambria Math"/>
              </w:rPr>
              <m:t>W×1000</m:t>
            </m:r>
            <m:ctrlPr>
              <w:rPr>
                <w:rFonts w:ascii="Cambria Math" w:hAnsi="Cambria Math"/>
                <w:i/>
              </w:rPr>
            </m:ctrlPr>
          </m:den>
        </m:f>
        <m:r>
          <m:rPr/>
          <w:rPr>
            <w:rFonts w:ascii="Cambria Math" w:hAnsi="Cambria Math"/>
          </w:rPr>
          <m:t>×100%</m:t>
        </m:r>
      </m:oMath>
      <w:r>
        <w:rPr>
          <w:rFonts w:hint="eastAsia" w:ascii="Times New Roman" w:hAnsi="Times New Roman" w:eastAsia="微软雅黑"/>
        </w:rPr>
        <w:tab/>
      </w:r>
      <w:r>
        <w:rPr>
          <w:rFonts w:hAnsi="Times New Roman"/>
          <w:kern w:val="0"/>
          <w:szCs w:val="20"/>
        </w:rPr>
        <w:t>(B.</w:t>
      </w:r>
      <w:r>
        <w:rPr>
          <w:rFonts w:hAnsi="Times New Roman"/>
          <w:kern w:val="0"/>
          <w:szCs w:val="20"/>
        </w:rPr>
        <w:fldChar w:fldCharType="begin"/>
      </w:r>
      <w:r>
        <w:rPr>
          <w:rFonts w:hAnsi="Times New Roman"/>
          <w:kern w:val="0"/>
          <w:szCs w:val="20"/>
        </w:rPr>
        <w:instrText xml:space="preserve"> seq fulu_equation_133952107178898057 </w:instrText>
      </w:r>
      <w:r>
        <w:rPr>
          <w:rFonts w:hAnsi="Times New Roman"/>
          <w:kern w:val="0"/>
          <w:szCs w:val="20"/>
        </w:rPr>
        <w:fldChar w:fldCharType="separate"/>
      </w:r>
      <w:r>
        <w:rPr>
          <w:rFonts w:hint="eastAsia" w:hAnsi="Times New Roman"/>
          <w:kern w:val="0"/>
          <w:szCs w:val="20"/>
        </w:rPr>
        <w:t>1</w:t>
      </w:r>
      <w:r>
        <w:rPr>
          <w:rFonts w:hAnsi="Times New Roman"/>
          <w:kern w:val="0"/>
          <w:szCs w:val="20"/>
        </w:rPr>
        <w:fldChar w:fldCharType="end"/>
      </w:r>
      <w:r>
        <w:rPr>
          <w:rFonts w:hAnsi="Times New Roman"/>
          <w:kern w:val="0"/>
          <w:szCs w:val="20"/>
        </w:rPr>
        <w:t>)</w:t>
      </w:r>
    </w:p>
    <w:p w14:paraId="7951D570">
      <w:pPr>
        <w:pStyle w:val="55"/>
        <w:ind w:firstLine="420"/>
        <w:rPr>
          <w:rFonts w:ascii="Times New Roman" w:hAnsi="Times New Roman"/>
        </w:rPr>
      </w:pPr>
      <w:r>
        <w:rPr>
          <w:rFonts w:hint="eastAsia" w:ascii="Times New Roman" w:hAnsi="Times New Roman"/>
        </w:rPr>
        <w:t>式中：</w:t>
      </w:r>
    </w:p>
    <w:p w14:paraId="3594147A">
      <w:pPr>
        <w:pStyle w:val="56"/>
        <w:ind w:firstLine="420"/>
        <w:rPr>
          <w:rFonts w:ascii="Times New Roman"/>
        </w:rPr>
      </w:pPr>
      <m:oMath>
        <m:r>
          <m:rPr/>
          <w:rPr>
            <w:rFonts w:ascii="Cambria Math" w:hAnsi="Cambria Math"/>
          </w:rPr>
          <m:t>X</m:t>
        </m:r>
      </m:oMath>
      <w:r>
        <w:rPr>
          <w:rFonts w:hint="eastAsia" w:ascii="Times New Roman"/>
        </w:rPr>
        <w:t>—黄酮类化合物的总含量</w:t>
      </w:r>
      <w:r>
        <w:rPr>
          <w:rFonts w:hint="eastAsia" w:hAnsi="宋体"/>
        </w:rPr>
        <w:t>（%）</w:t>
      </w:r>
      <w:r>
        <w:rPr>
          <w:rFonts w:hint="eastAsia" w:ascii="Times New Roman"/>
        </w:rPr>
        <w:t>；</w:t>
      </w:r>
    </w:p>
    <w:p w14:paraId="5EAE9381">
      <w:pPr>
        <w:pStyle w:val="56"/>
        <w:ind w:firstLine="420"/>
        <w:rPr>
          <w:rFonts w:ascii="Times New Roman"/>
        </w:rPr>
      </w:pPr>
      <m:oMath>
        <m:r>
          <m:rPr/>
          <w:rPr>
            <w:rFonts w:ascii="Cambria Math" w:hAnsi="Cambria Math"/>
          </w:rPr>
          <m:t>m</m:t>
        </m:r>
      </m:oMath>
      <w:r>
        <w:rPr>
          <w:rFonts w:hint="eastAsia" w:ascii="Times New Roman"/>
        </w:rPr>
        <w:t>—由标准曲线上查出或由直线回归方程求出的样品比色液中芦丁质量，单位为毫克</w:t>
      </w:r>
      <w:r>
        <w:rPr>
          <w:rFonts w:hint="eastAsia" w:hAnsi="宋体"/>
        </w:rPr>
        <w:t>（mg）；</w:t>
      </w:r>
    </w:p>
    <w:p w14:paraId="3D639949">
      <w:pPr>
        <w:pStyle w:val="56"/>
        <w:ind w:firstLine="420"/>
        <w:rPr>
          <w:rFonts w:ascii="Times New Roman"/>
        </w:rPr>
      </w:pPr>
      <m:oMath>
        <m:r>
          <m:rPr/>
          <w:rPr>
            <w:rFonts w:ascii="Cambria Math" w:hAnsi="Cambria Math"/>
          </w:rPr>
          <m:t>W</m:t>
        </m:r>
      </m:oMath>
      <w:r>
        <w:rPr>
          <w:rFonts w:hint="eastAsia" w:ascii="Times New Roman"/>
        </w:rPr>
        <w:t>—样品的取样体积，单位为毫升</w:t>
      </w:r>
      <w:r>
        <w:rPr>
          <w:rFonts w:hint="eastAsia" w:hAnsi="宋体"/>
        </w:rPr>
        <w:t>（mL）；</w:t>
      </w:r>
    </w:p>
    <w:p w14:paraId="75C90385">
      <w:pPr>
        <w:pStyle w:val="56"/>
        <w:ind w:firstLine="420"/>
        <w:rPr>
          <w:rFonts w:ascii="Times New Roman"/>
        </w:rPr>
      </w:pPr>
      <m:oMath>
        <m:r>
          <m:rPr/>
          <w:rPr>
            <w:rFonts w:ascii="Cambria Math" w:hAnsi="Cambria Math"/>
          </w:rPr>
          <m:t>d</m:t>
        </m:r>
      </m:oMath>
      <w:r>
        <w:rPr>
          <w:rFonts w:hint="eastAsia" w:ascii="Times New Roman"/>
        </w:rPr>
        <w:t>—</w:t>
      </w:r>
      <w:r>
        <w:rPr>
          <w:rFonts w:ascii="Times New Roman"/>
        </w:rPr>
        <w:t>稀释比例</w:t>
      </w:r>
      <w:r>
        <w:rPr>
          <w:rFonts w:hint="eastAsia" w:ascii="Times New Roman"/>
        </w:rPr>
        <w:t>。</w:t>
      </w:r>
    </w:p>
    <w:p w14:paraId="6556D560">
      <w:pPr>
        <w:pStyle w:val="56"/>
        <w:ind w:firstLine="420"/>
        <w:rPr>
          <w:rFonts w:ascii="Times New Roman"/>
        </w:rPr>
      </w:pPr>
      <w:r>
        <w:rPr>
          <w:rFonts w:hint="eastAsia" w:ascii="Times New Roman"/>
        </w:rPr>
        <w:t>计算结果表示到小数点后两位。</w:t>
      </w:r>
    </w:p>
    <w:p w14:paraId="2E2A0180">
      <w:pPr>
        <w:pStyle w:val="78"/>
        <w:spacing w:before="120" w:after="120"/>
        <w:rPr>
          <w:rFonts w:ascii="Times New Roman"/>
        </w:rPr>
      </w:pPr>
      <w:r>
        <w:rPr>
          <w:rFonts w:hint="eastAsia" w:ascii="Times New Roman"/>
        </w:rPr>
        <w:t>重复性</w:t>
      </w:r>
    </w:p>
    <w:p w14:paraId="57277641">
      <w:pPr>
        <w:pStyle w:val="56"/>
        <w:ind w:firstLine="420"/>
      </w:pPr>
      <w:r>
        <w:rPr>
          <w:rFonts w:hint="eastAsia" w:ascii="Times New Roman"/>
        </w:rPr>
        <w:t>在重复性条件下获得的两次独立测定结果的绝对差值不得超过算术平均值的</w:t>
      </w:r>
      <w:r>
        <w:rPr>
          <w:rFonts w:hint="eastAsia"/>
        </w:rPr>
        <w:t>10%。</w:t>
      </w:r>
    </w:p>
    <w:p w14:paraId="3AAFCBC0">
      <w:pPr>
        <w:pStyle w:val="56"/>
        <w:ind w:firstLine="0" w:firstLineChars="0"/>
        <w:rPr>
          <w:rFonts w:ascii="Times New Roman"/>
        </w:rPr>
        <w:sectPr>
          <w:pgSz w:w="11906" w:h="16838"/>
          <w:pgMar w:top="1928" w:right="1134" w:bottom="1134" w:left="1134" w:header="1418" w:footer="1134" w:gutter="284"/>
          <w:cols w:space="425" w:num="1"/>
          <w:formProt w:val="0"/>
          <w:docGrid w:linePitch="312" w:charSpace="0"/>
        </w:sectPr>
      </w:pPr>
    </w:p>
    <w:p w14:paraId="2D4A8ADC">
      <w:pPr>
        <w:pStyle w:val="198"/>
        <w:rPr>
          <w:rFonts w:ascii="Times New Roman" w:hAnsi="Times New Roman"/>
          <w:vanish w:val="0"/>
        </w:rPr>
      </w:pPr>
    </w:p>
    <w:p w14:paraId="5BF9F601">
      <w:pPr>
        <w:pStyle w:val="199"/>
        <w:rPr>
          <w:rFonts w:ascii="Times New Roman"/>
          <w:vanish w:val="0"/>
        </w:rPr>
      </w:pPr>
    </w:p>
    <w:p w14:paraId="219B04F2">
      <w:pPr>
        <w:pStyle w:val="76"/>
        <w:spacing w:after="120"/>
        <w:rPr>
          <w:rFonts w:ascii="Times New Roman"/>
        </w:rPr>
      </w:pPr>
      <w:r>
        <w:rPr>
          <w:rFonts w:ascii="Times New Roman"/>
        </w:rPr>
        <w:br w:type="textWrapping"/>
      </w:r>
      <w:r>
        <w:rPr>
          <w:rFonts w:hint="eastAsia" w:ascii="Times New Roman"/>
        </w:rPr>
        <w:t>（规范性）</w:t>
      </w:r>
      <w:r>
        <w:rPr>
          <w:rFonts w:ascii="Times New Roman"/>
        </w:rPr>
        <w:br w:type="textWrapping"/>
      </w:r>
      <w:r>
        <w:rPr>
          <w:rFonts w:hint="eastAsia" w:ascii="Times New Roman"/>
        </w:rPr>
        <w:t>总多糖含量测定</w:t>
      </w:r>
    </w:p>
    <w:p w14:paraId="66D57653">
      <w:pPr>
        <w:pStyle w:val="78"/>
        <w:spacing w:before="120" w:after="120"/>
        <w:rPr>
          <w:rFonts w:ascii="Times New Roman"/>
        </w:rPr>
      </w:pPr>
      <w:r>
        <w:rPr>
          <w:rFonts w:hint="eastAsia" w:ascii="Times New Roman"/>
        </w:rPr>
        <w:t>原理</w:t>
      </w:r>
    </w:p>
    <w:p w14:paraId="628260B5">
      <w:pPr>
        <w:pStyle w:val="56"/>
        <w:ind w:firstLine="420"/>
      </w:pPr>
      <w:r>
        <w:rPr>
          <w:rFonts w:hint="eastAsia"/>
        </w:rPr>
        <w:t>多糖在浓硫酸的作用下，先水解成单糖，并迅速脱水生成糖醛衍生物，与苯酚反应生成橙黄色溶液，在490</w:t>
      </w:r>
      <w:r>
        <w:rPr>
          <w:rFonts w:hint="eastAsia"/>
          <w:vertAlign w:val="superscript"/>
        </w:rPr>
        <w:t xml:space="preserve"> </w:t>
      </w:r>
      <w:r>
        <w:rPr>
          <w:rFonts w:hint="eastAsia"/>
        </w:rPr>
        <w:t>nm处有特征吸收，与标准系列比较定量。</w:t>
      </w:r>
    </w:p>
    <w:p w14:paraId="3E9CF994">
      <w:pPr>
        <w:pStyle w:val="78"/>
        <w:spacing w:before="120" w:after="120"/>
        <w:rPr>
          <w:rFonts w:ascii="Times New Roman"/>
        </w:rPr>
      </w:pPr>
      <w:r>
        <w:rPr>
          <w:rFonts w:hint="eastAsia" w:ascii="Times New Roman"/>
        </w:rPr>
        <w:t>试剂和材料</w:t>
      </w:r>
    </w:p>
    <w:p w14:paraId="728708AE">
      <w:pPr>
        <w:pStyle w:val="212"/>
        <w:rPr>
          <w:rFonts w:hAnsi="宋体"/>
        </w:rPr>
      </w:pPr>
      <w:r>
        <w:rPr>
          <w:rFonts w:hint="eastAsia" w:hAnsi="宋体"/>
        </w:rPr>
        <w:t>硫酸（</w:t>
      </w:r>
      <w:r>
        <w:rPr>
          <w:rFonts w:hAnsi="宋体"/>
        </w:rPr>
        <w:t>H</w:t>
      </w:r>
      <w:r>
        <w:rPr>
          <w:rFonts w:hAnsi="宋体"/>
          <w:vertAlign w:val="subscript"/>
        </w:rPr>
        <w:t>2</w:t>
      </w:r>
      <w:r>
        <w:rPr>
          <w:rFonts w:hAnsi="宋体"/>
        </w:rPr>
        <w:t>SO</w:t>
      </w:r>
      <w:r>
        <w:rPr>
          <w:rFonts w:hAnsi="宋体"/>
          <w:vertAlign w:val="subscript"/>
        </w:rPr>
        <w:t>4</w:t>
      </w:r>
      <w:r>
        <w:rPr>
          <w:rFonts w:hint="eastAsia" w:hAnsi="宋体"/>
        </w:rPr>
        <w:t>），</w:t>
      </w:r>
      <w:r>
        <w:rPr>
          <w:rFonts w:hAnsi="宋体"/>
          <w:i/>
          <w:iCs/>
        </w:rPr>
        <w:t>ρ</w:t>
      </w:r>
      <w:r>
        <w:rPr>
          <w:rFonts w:hint="eastAsia" w:hAnsi="宋体"/>
        </w:rPr>
        <w:t>=</w:t>
      </w:r>
      <w:r>
        <w:rPr>
          <w:rFonts w:hAnsi="宋体"/>
        </w:rPr>
        <w:t>1.84</w:t>
      </w:r>
      <w:r>
        <w:rPr>
          <w:rFonts w:hint="eastAsia" w:hAnsi="宋体"/>
          <w:vertAlign w:val="superscript"/>
        </w:rPr>
        <w:t xml:space="preserve"> </w:t>
      </w:r>
      <w:r>
        <w:rPr>
          <w:rFonts w:hAnsi="宋体"/>
        </w:rPr>
        <w:t>g/mL</w:t>
      </w:r>
      <w:r>
        <w:rPr>
          <w:rFonts w:hint="eastAsia" w:hAnsi="宋体"/>
        </w:rPr>
        <w:t>。</w:t>
      </w:r>
    </w:p>
    <w:p w14:paraId="320D74A7">
      <w:pPr>
        <w:pStyle w:val="212"/>
        <w:rPr>
          <w:rFonts w:hAnsi="宋体"/>
        </w:rPr>
      </w:pPr>
      <w:r>
        <w:rPr>
          <w:rFonts w:hint="eastAsia" w:hAnsi="宋体"/>
        </w:rPr>
        <w:t>无水乙醇（C</w:t>
      </w:r>
      <w:r>
        <w:rPr>
          <w:rFonts w:hint="eastAsia" w:hAnsi="宋体"/>
          <w:vertAlign w:val="subscript"/>
        </w:rPr>
        <w:t>2</w:t>
      </w:r>
      <w:r>
        <w:rPr>
          <w:rFonts w:hint="eastAsia" w:hAnsi="宋体"/>
        </w:rPr>
        <w:t>H</w:t>
      </w:r>
      <w:r>
        <w:rPr>
          <w:rFonts w:hint="eastAsia" w:hAnsi="宋体"/>
          <w:vertAlign w:val="subscript"/>
        </w:rPr>
        <w:t>6</w:t>
      </w:r>
      <w:r>
        <w:rPr>
          <w:rFonts w:hint="eastAsia" w:hAnsi="宋体"/>
        </w:rPr>
        <w:t>O）。</w:t>
      </w:r>
    </w:p>
    <w:p w14:paraId="4A69EFC0">
      <w:pPr>
        <w:pStyle w:val="212"/>
        <w:rPr>
          <w:rFonts w:hAnsi="宋体"/>
        </w:rPr>
      </w:pPr>
      <w:r>
        <w:rPr>
          <w:rFonts w:hint="eastAsia" w:hAnsi="宋体"/>
        </w:rPr>
        <w:t>苯酚（C</w:t>
      </w:r>
      <w:r>
        <w:rPr>
          <w:rFonts w:hint="eastAsia" w:hAnsi="宋体"/>
          <w:vertAlign w:val="subscript"/>
        </w:rPr>
        <w:t>6</w:t>
      </w:r>
      <w:r>
        <w:rPr>
          <w:rFonts w:hint="eastAsia" w:hAnsi="宋体"/>
        </w:rPr>
        <w:t>H</w:t>
      </w:r>
      <w:r>
        <w:rPr>
          <w:rFonts w:hint="eastAsia" w:hAnsi="宋体"/>
          <w:vertAlign w:val="subscript"/>
        </w:rPr>
        <w:t>6</w:t>
      </w:r>
      <w:r>
        <w:rPr>
          <w:rFonts w:hint="eastAsia" w:hAnsi="宋体"/>
        </w:rPr>
        <w:t>O）。</w:t>
      </w:r>
    </w:p>
    <w:p w14:paraId="6E934052">
      <w:pPr>
        <w:pStyle w:val="212"/>
        <w:jc w:val="left"/>
        <w:rPr>
          <w:rFonts w:hAnsi="宋体"/>
        </w:rPr>
      </w:pPr>
      <w:r>
        <w:rPr>
          <w:rFonts w:hint="eastAsia" w:hAnsi="宋体"/>
        </w:rPr>
        <w:t>5%苯酚溶液：称取5.0</w:t>
      </w:r>
      <w:r>
        <w:rPr>
          <w:rFonts w:hint="eastAsia" w:hAnsi="宋体"/>
          <w:w w:val="50"/>
        </w:rPr>
        <w:t xml:space="preserve"> </w:t>
      </w:r>
      <w:r>
        <w:rPr>
          <w:rFonts w:hint="eastAsia" w:hAnsi="宋体"/>
        </w:rPr>
        <w:t>g苯酚于50</w:t>
      </w:r>
      <w:r>
        <w:rPr>
          <w:rFonts w:hint="eastAsia" w:hAnsi="宋体"/>
          <w:vertAlign w:val="superscript"/>
        </w:rPr>
        <w:t xml:space="preserve"> </w:t>
      </w:r>
      <w:r>
        <w:rPr>
          <w:rFonts w:hint="eastAsia" w:hAnsi="宋体"/>
        </w:rPr>
        <w:t>mL烧杯中，加水溶解，转移至100</w:t>
      </w:r>
      <w:r>
        <w:rPr>
          <w:rFonts w:hint="eastAsia" w:hAnsi="宋体"/>
          <w:w w:val="50"/>
          <w:vertAlign w:val="superscript"/>
        </w:rPr>
        <w:t xml:space="preserve"> </w:t>
      </w:r>
      <w:r>
        <w:rPr>
          <w:rFonts w:hint="eastAsia" w:hAnsi="宋体"/>
        </w:rPr>
        <w:t>mL棕色容量瓶中，缓慢加水定容至刻度，混匀，临用新配。</w:t>
      </w:r>
    </w:p>
    <w:p w14:paraId="0D0741CA">
      <w:pPr>
        <w:pStyle w:val="212"/>
        <w:rPr>
          <w:rFonts w:hAnsi="宋体"/>
        </w:rPr>
      </w:pPr>
      <w:r>
        <w:rPr>
          <w:rFonts w:hint="eastAsia" w:hAnsi="宋体"/>
        </w:rPr>
        <w:t>葡萄糖（C</w:t>
      </w:r>
      <w:r>
        <w:rPr>
          <w:rFonts w:hint="eastAsia" w:hAnsi="宋体"/>
          <w:vertAlign w:val="subscript"/>
        </w:rPr>
        <w:t>6</w:t>
      </w:r>
      <w:r>
        <w:rPr>
          <w:rFonts w:hint="eastAsia" w:hAnsi="宋体"/>
        </w:rPr>
        <w:t>H</w:t>
      </w:r>
      <w:r>
        <w:rPr>
          <w:rFonts w:hint="eastAsia" w:hAnsi="宋体"/>
          <w:vertAlign w:val="subscript"/>
        </w:rPr>
        <w:t>12</w:t>
      </w:r>
      <w:r>
        <w:rPr>
          <w:rFonts w:hint="eastAsia" w:hAnsi="宋体"/>
        </w:rPr>
        <w:t>O</w:t>
      </w:r>
      <w:r>
        <w:rPr>
          <w:rFonts w:hint="eastAsia" w:hAnsi="宋体"/>
          <w:vertAlign w:val="subscript"/>
        </w:rPr>
        <w:t>6</w:t>
      </w:r>
      <w:r>
        <w:rPr>
          <w:rFonts w:hint="eastAsia" w:hAnsi="宋体"/>
        </w:rPr>
        <w:t>），使用前应于105</w:t>
      </w:r>
      <w:r>
        <w:rPr>
          <w:rFonts w:hint="eastAsia" w:hAnsi="宋体"/>
          <w:w w:val="50"/>
        </w:rPr>
        <w:t xml:space="preserve"> </w:t>
      </w:r>
      <w:r>
        <w:rPr>
          <w:rFonts w:hint="eastAsia" w:hAnsi="宋体"/>
          <w:w w:val="50"/>
          <w:vertAlign w:val="superscript"/>
        </w:rPr>
        <w:t xml:space="preserve"> </w:t>
      </w:r>
      <w:r>
        <w:rPr>
          <w:rFonts w:hint="eastAsia" w:hAnsi="宋体"/>
        </w:rPr>
        <w:t>℃恒温烘干至恒重。</w:t>
      </w:r>
    </w:p>
    <w:p w14:paraId="368F08EE">
      <w:pPr>
        <w:pStyle w:val="212"/>
        <w:rPr>
          <w:rFonts w:hAnsi="宋体"/>
        </w:rPr>
      </w:pPr>
      <w:r>
        <w:rPr>
          <w:rFonts w:hint="eastAsia" w:hAnsi="宋体"/>
        </w:rPr>
        <w:t>葡萄糖标准溶液：精密称取经干燥至恒重的葡萄糖标准品100</w:t>
      </w:r>
      <w:r>
        <w:rPr>
          <w:rFonts w:hint="eastAsia" w:hAnsi="宋体"/>
          <w:w w:val="50"/>
        </w:rPr>
        <w:t xml:space="preserve"> </w:t>
      </w:r>
      <w:r>
        <w:rPr>
          <w:rFonts w:hint="eastAsia" w:hAnsi="宋体"/>
        </w:rPr>
        <w:t>mg，置100</w:t>
      </w:r>
      <w:r>
        <w:rPr>
          <w:rFonts w:hint="eastAsia" w:hAnsi="宋体"/>
          <w:w w:val="50"/>
        </w:rPr>
        <w:t xml:space="preserve"> </w:t>
      </w:r>
      <w:r>
        <w:rPr>
          <w:rFonts w:hint="eastAsia" w:hAnsi="宋体"/>
        </w:rPr>
        <w:t>mL容量瓶中，加水溶解并定容至刻度，浓度为1</w:t>
      </w:r>
      <w:r>
        <w:rPr>
          <w:rFonts w:hint="eastAsia" w:hAnsi="宋体"/>
          <w:w w:val="50"/>
        </w:rPr>
        <w:t xml:space="preserve"> </w:t>
      </w:r>
      <w:r>
        <w:rPr>
          <w:rFonts w:hint="eastAsia" w:hAnsi="宋体"/>
        </w:rPr>
        <w:t>mg/mL。4</w:t>
      </w:r>
      <w:r>
        <w:rPr>
          <w:rFonts w:hint="eastAsia" w:hAnsi="宋体"/>
          <w:vertAlign w:val="superscript"/>
        </w:rPr>
        <w:t xml:space="preserve"> </w:t>
      </w:r>
      <w:r>
        <w:rPr>
          <w:rFonts w:hint="eastAsia" w:hAnsi="宋体"/>
        </w:rPr>
        <w:t>℃冰箱中保存。</w:t>
      </w:r>
    </w:p>
    <w:p w14:paraId="5FA50DE1">
      <w:pPr>
        <w:pStyle w:val="212"/>
        <w:rPr>
          <w:rFonts w:hAnsi="宋体"/>
        </w:rPr>
      </w:pPr>
      <w:r>
        <w:rPr>
          <w:rFonts w:hint="eastAsia" w:hAnsi="宋体"/>
        </w:rPr>
        <w:t>葡萄糖标准工作溶液：精密移取1.00</w:t>
      </w:r>
      <w:r>
        <w:rPr>
          <w:rFonts w:hint="eastAsia" w:hAnsi="宋体"/>
          <w:vertAlign w:val="superscript"/>
        </w:rPr>
        <w:t xml:space="preserve"> </w:t>
      </w:r>
      <w:r>
        <w:rPr>
          <w:rFonts w:hint="eastAsia" w:hAnsi="宋体"/>
        </w:rPr>
        <w:t>mL葡萄糖标准溶液至10</w:t>
      </w:r>
      <w:r>
        <w:rPr>
          <w:rFonts w:hint="eastAsia" w:hAnsi="宋体"/>
          <w:w w:val="50"/>
        </w:rPr>
        <w:t xml:space="preserve"> </w:t>
      </w:r>
      <w:r>
        <w:rPr>
          <w:rFonts w:hint="eastAsia" w:hAnsi="宋体"/>
        </w:rPr>
        <w:t>mL容量瓶中，用水定量至刻度，摇匀，即得浓度为100</w:t>
      </w:r>
      <w:r>
        <w:rPr>
          <w:rFonts w:hint="eastAsia" w:hAnsi="宋体"/>
          <w:w w:val="50"/>
        </w:rPr>
        <w:t xml:space="preserve"> </w:t>
      </w:r>
      <w:r>
        <w:rPr>
          <w:rFonts w:hAnsi="宋体"/>
        </w:rPr>
        <w:t>μ</w:t>
      </w:r>
      <w:r>
        <w:rPr>
          <w:rFonts w:hint="eastAsia" w:hAnsi="宋体"/>
        </w:rPr>
        <w:t>g/mL的葡萄糖标准工作溶液。临用新配。</w:t>
      </w:r>
    </w:p>
    <w:p w14:paraId="0E59FCBA">
      <w:pPr>
        <w:pStyle w:val="78"/>
        <w:spacing w:before="120" w:after="120"/>
        <w:rPr>
          <w:rFonts w:ascii="Times New Roman"/>
        </w:rPr>
      </w:pPr>
      <w:r>
        <w:rPr>
          <w:rFonts w:hint="eastAsia" w:ascii="Times New Roman"/>
        </w:rPr>
        <w:t>仪器</w:t>
      </w:r>
    </w:p>
    <w:p w14:paraId="00D2B40D">
      <w:pPr>
        <w:pStyle w:val="212"/>
        <w:rPr>
          <w:rFonts w:hAnsi="宋体"/>
        </w:rPr>
      </w:pPr>
      <w:r>
        <w:rPr>
          <w:rFonts w:hint="eastAsia" w:hAnsi="宋体"/>
        </w:rPr>
        <w:t>可见分光光度计，采用1</w:t>
      </w:r>
      <w:r>
        <w:rPr>
          <w:rFonts w:hint="eastAsia" w:hAnsi="宋体"/>
          <w:w w:val="50"/>
        </w:rPr>
        <w:t xml:space="preserve"> </w:t>
      </w:r>
      <w:r>
        <w:rPr>
          <w:rFonts w:hint="eastAsia" w:hAnsi="宋体"/>
        </w:rPr>
        <w:t>cm比色皿。</w:t>
      </w:r>
    </w:p>
    <w:p w14:paraId="0607A185">
      <w:pPr>
        <w:pStyle w:val="212"/>
        <w:rPr>
          <w:rFonts w:hAnsi="宋体"/>
        </w:rPr>
      </w:pPr>
      <w:r>
        <w:rPr>
          <w:rFonts w:hint="eastAsia" w:hAnsi="宋体"/>
        </w:rPr>
        <w:t>分析天平：感量0.000</w:t>
      </w:r>
      <w:r>
        <w:rPr>
          <w:rFonts w:hint="eastAsia" w:hAnsi="宋体"/>
          <w:vertAlign w:val="superscript"/>
        </w:rPr>
        <w:t xml:space="preserve"> </w:t>
      </w:r>
      <w:r>
        <w:rPr>
          <w:rFonts w:hint="eastAsia" w:hAnsi="宋体"/>
        </w:rPr>
        <w:t>1</w:t>
      </w:r>
      <w:r>
        <w:rPr>
          <w:rFonts w:hint="eastAsia" w:hAnsi="宋体"/>
          <w:w w:val="50"/>
        </w:rPr>
        <w:t xml:space="preserve"> </w:t>
      </w:r>
      <w:r>
        <w:rPr>
          <w:rFonts w:hint="eastAsia" w:hAnsi="宋体"/>
        </w:rPr>
        <w:t>g。</w:t>
      </w:r>
    </w:p>
    <w:p w14:paraId="7E020399">
      <w:pPr>
        <w:pStyle w:val="212"/>
        <w:rPr>
          <w:rFonts w:hAnsi="宋体"/>
        </w:rPr>
      </w:pPr>
      <w:r>
        <w:rPr>
          <w:rFonts w:hint="eastAsia" w:hAnsi="宋体"/>
        </w:rPr>
        <w:t>离心机。</w:t>
      </w:r>
    </w:p>
    <w:p w14:paraId="5CD7BD7A">
      <w:pPr>
        <w:pStyle w:val="78"/>
        <w:spacing w:before="120" w:after="120"/>
        <w:rPr>
          <w:rFonts w:ascii="Times New Roman"/>
        </w:rPr>
      </w:pPr>
      <w:r>
        <w:rPr>
          <w:rFonts w:hint="eastAsia" w:ascii="Times New Roman"/>
        </w:rPr>
        <w:t>溶液配制</w:t>
      </w:r>
    </w:p>
    <w:p w14:paraId="7EEBF79E">
      <w:pPr>
        <w:pStyle w:val="79"/>
        <w:spacing w:before="120" w:after="120"/>
        <w:rPr>
          <w:rFonts w:ascii="Times New Roman"/>
        </w:rPr>
      </w:pPr>
      <w:r>
        <w:rPr>
          <w:rFonts w:hint="eastAsia" w:ascii="Times New Roman"/>
        </w:rPr>
        <w:t>待测样品溶液</w:t>
      </w:r>
    </w:p>
    <w:p w14:paraId="68F65117">
      <w:pPr>
        <w:pStyle w:val="56"/>
        <w:ind w:firstLine="420"/>
        <w:rPr>
          <w:rFonts w:hAnsi="宋体"/>
        </w:rPr>
      </w:pPr>
      <w:r>
        <w:rPr>
          <w:rFonts w:hint="eastAsia" w:hAnsi="宋体"/>
        </w:rPr>
        <w:t>精密吸取提取物1.00</w:t>
      </w:r>
      <w:r>
        <w:rPr>
          <w:rFonts w:hint="eastAsia" w:hAnsi="宋体"/>
          <w:vertAlign w:val="superscript"/>
        </w:rPr>
        <w:t xml:space="preserve"> </w:t>
      </w:r>
      <w:r>
        <w:rPr>
          <w:rFonts w:hint="eastAsia" w:hAnsi="宋体"/>
        </w:rPr>
        <w:t>mL至10</w:t>
      </w:r>
      <w:r>
        <w:rPr>
          <w:rFonts w:hint="eastAsia" w:hAnsi="宋体"/>
          <w:w w:val="50"/>
        </w:rPr>
        <w:t xml:space="preserve"> </w:t>
      </w:r>
      <w:r>
        <w:rPr>
          <w:rFonts w:hint="eastAsia" w:hAnsi="宋体"/>
        </w:rPr>
        <w:t>mL离心管中，加无水乙醇4.0</w:t>
      </w:r>
      <w:r>
        <w:rPr>
          <w:rFonts w:hint="eastAsia" w:hAnsi="宋体"/>
          <w:vertAlign w:val="superscript"/>
        </w:rPr>
        <w:t xml:space="preserve"> </w:t>
      </w:r>
      <w:r>
        <w:rPr>
          <w:rFonts w:hint="eastAsia" w:hAnsi="宋体"/>
        </w:rPr>
        <w:t>mL，摇匀，置4</w:t>
      </w:r>
      <w:r>
        <w:rPr>
          <w:rFonts w:hint="eastAsia" w:hAnsi="宋体"/>
          <w:w w:val="50"/>
        </w:rPr>
        <w:t xml:space="preserve"> </w:t>
      </w:r>
      <w:r>
        <w:rPr>
          <w:rFonts w:hint="eastAsia" w:hAnsi="宋体"/>
        </w:rPr>
        <w:t>℃温度下放置12</w:t>
      </w:r>
      <w:r>
        <w:rPr>
          <w:rFonts w:hint="eastAsia" w:hAnsi="宋体"/>
          <w:w w:val="50"/>
        </w:rPr>
        <w:t xml:space="preserve"> </w:t>
      </w:r>
      <w:r>
        <w:rPr>
          <w:rFonts w:hint="eastAsia" w:hAnsi="宋体"/>
        </w:rPr>
        <w:t>h以上。提取结束后，于3</w:t>
      </w:r>
      <w:r>
        <w:rPr>
          <w:rFonts w:hint="eastAsia" w:hAnsi="宋体"/>
          <w:vertAlign w:val="superscript"/>
        </w:rPr>
        <w:t xml:space="preserve"> </w:t>
      </w:r>
      <w:r>
        <w:rPr>
          <w:rFonts w:hint="eastAsia" w:hAnsi="宋体"/>
        </w:rPr>
        <w:t>000</w:t>
      </w:r>
      <w:r>
        <w:rPr>
          <w:rFonts w:hint="eastAsia" w:hAnsi="宋体"/>
          <w:w w:val="50"/>
          <w:vertAlign w:val="superscript"/>
        </w:rPr>
        <w:t xml:space="preserve"> </w:t>
      </w:r>
      <w:r>
        <w:rPr>
          <w:rFonts w:hint="eastAsia" w:hAnsi="宋体"/>
        </w:rPr>
        <w:t>r/min离心30</w:t>
      </w:r>
      <w:r>
        <w:rPr>
          <w:rFonts w:hint="eastAsia" w:hAnsi="宋体"/>
          <w:w w:val="50"/>
        </w:rPr>
        <w:t xml:space="preserve"> </w:t>
      </w:r>
      <w:r>
        <w:rPr>
          <w:rFonts w:hint="eastAsia" w:hAnsi="宋体"/>
        </w:rPr>
        <w:t>min，弃去上清液。不溶物用5</w:t>
      </w:r>
      <w:r>
        <w:rPr>
          <w:rFonts w:hint="eastAsia" w:hAnsi="宋体"/>
          <w:vertAlign w:val="superscript"/>
        </w:rPr>
        <w:t xml:space="preserve"> </w:t>
      </w:r>
      <w:r>
        <w:rPr>
          <w:rFonts w:hint="eastAsia" w:hAnsi="宋体"/>
        </w:rPr>
        <w:t>mL水溶解，转移至10</w:t>
      </w:r>
      <w:r>
        <w:rPr>
          <w:rFonts w:hint="eastAsia" w:hAnsi="宋体"/>
          <w:vertAlign w:val="superscript"/>
        </w:rPr>
        <w:t xml:space="preserve"> </w:t>
      </w:r>
      <w:r>
        <w:rPr>
          <w:rFonts w:hint="eastAsia" w:hAnsi="宋体"/>
        </w:rPr>
        <w:t>mL容量瓶中，用水定量至刻度，摇匀，待测。</w:t>
      </w:r>
    </w:p>
    <w:p w14:paraId="36EC0AED">
      <w:pPr>
        <w:pStyle w:val="78"/>
        <w:spacing w:before="120" w:after="120"/>
        <w:rPr>
          <w:rFonts w:ascii="Times New Roman"/>
        </w:rPr>
      </w:pPr>
      <w:r>
        <w:rPr>
          <w:rFonts w:hint="eastAsia" w:ascii="Times New Roman"/>
        </w:rPr>
        <w:t>测试方法</w:t>
      </w:r>
    </w:p>
    <w:p w14:paraId="7D1067C8">
      <w:pPr>
        <w:pStyle w:val="56"/>
        <w:ind w:firstLine="420"/>
        <w:rPr>
          <w:rFonts w:hAnsi="宋体"/>
          <w:color w:val="0070C0"/>
        </w:rPr>
      </w:pPr>
      <w:r>
        <w:rPr>
          <w:rFonts w:hint="eastAsia" w:hAnsi="宋体"/>
        </w:rPr>
        <w:t>按表C.1将各具塞试管编号后加入相应溶液，并按步骤操作。0～5号为标准曲线，S1、S2为测试样品。以0号管为空白校正，于波长490</w:t>
      </w:r>
      <w:r>
        <w:rPr>
          <w:rFonts w:hint="eastAsia" w:hAnsi="宋体"/>
          <w:vertAlign w:val="superscript"/>
        </w:rPr>
        <w:t xml:space="preserve"> </w:t>
      </w:r>
      <w:r>
        <w:rPr>
          <w:rFonts w:hint="eastAsia" w:hAnsi="宋体"/>
        </w:rPr>
        <w:t>nm处检测其他各管吸光度。</w:t>
      </w:r>
      <w:r>
        <w:rPr>
          <w:rFonts w:hint="eastAsia" w:hAnsi="宋体"/>
          <w:color w:val="0070C0"/>
        </w:rPr>
        <w:t>以葡萄糖质量浓度（</w:t>
      </w:r>
      <w:r>
        <w:rPr>
          <w:rFonts w:hAnsi="宋体"/>
          <w:color w:val="0070C0"/>
        </w:rPr>
        <w:t>μg</w:t>
      </w:r>
      <w:r>
        <w:rPr>
          <w:rFonts w:hint="eastAsia" w:hAnsi="宋体"/>
          <w:color w:val="0070C0"/>
        </w:rPr>
        <w:t>）为横坐标，吸光度值为纵坐标，绘制标准曲线。</w:t>
      </w:r>
    </w:p>
    <w:p w14:paraId="3FEFBB8B">
      <w:pPr>
        <w:pStyle w:val="77"/>
        <w:spacing w:before="120" w:after="120"/>
        <w:rPr>
          <w:rFonts w:ascii="Times New Roman"/>
        </w:rPr>
      </w:pPr>
      <w:r>
        <w:rPr>
          <w:rFonts w:hint="eastAsia" w:ascii="Times New Roman"/>
        </w:rPr>
        <w:t xml:space="preserve"> 总多糖含量测定方法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8"/>
        <w:gridCol w:w="993"/>
        <w:gridCol w:w="850"/>
        <w:gridCol w:w="992"/>
        <w:gridCol w:w="851"/>
        <w:gridCol w:w="850"/>
        <w:gridCol w:w="851"/>
        <w:gridCol w:w="850"/>
        <w:gridCol w:w="839"/>
      </w:tblGrid>
      <w:tr w14:paraId="665DA3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8" w:type="dxa"/>
            <w:tcBorders>
              <w:top w:val="single" w:color="auto" w:sz="8" w:space="0"/>
              <w:bottom w:val="single" w:color="auto" w:sz="8" w:space="0"/>
            </w:tcBorders>
            <w:shd w:val="clear" w:color="auto" w:fill="auto"/>
            <w:vAlign w:val="center"/>
          </w:tcPr>
          <w:p w14:paraId="002D973B">
            <w:pPr>
              <w:pStyle w:val="178"/>
              <w:rPr>
                <w:rFonts w:hAnsi="宋体"/>
                <w:szCs w:val="18"/>
              </w:rPr>
            </w:pPr>
            <w:r>
              <w:rPr>
                <w:rFonts w:hint="eastAsia" w:hAnsi="宋体"/>
                <w:szCs w:val="18"/>
              </w:rPr>
              <w:t>试管编号</w:t>
            </w:r>
          </w:p>
        </w:tc>
        <w:tc>
          <w:tcPr>
            <w:tcW w:w="993" w:type="dxa"/>
            <w:tcBorders>
              <w:top w:val="single" w:color="auto" w:sz="8" w:space="0"/>
              <w:bottom w:val="single" w:color="auto" w:sz="8" w:space="0"/>
            </w:tcBorders>
            <w:shd w:val="clear" w:color="auto" w:fill="auto"/>
            <w:vAlign w:val="center"/>
          </w:tcPr>
          <w:p w14:paraId="4A60BC97">
            <w:pPr>
              <w:pStyle w:val="178"/>
              <w:rPr>
                <w:rFonts w:hAnsi="宋体"/>
                <w:szCs w:val="18"/>
              </w:rPr>
            </w:pPr>
            <w:r>
              <w:rPr>
                <w:rFonts w:hint="eastAsia" w:hAnsi="宋体"/>
                <w:szCs w:val="18"/>
              </w:rPr>
              <w:t>0</w:t>
            </w:r>
          </w:p>
        </w:tc>
        <w:tc>
          <w:tcPr>
            <w:tcW w:w="850" w:type="dxa"/>
            <w:tcBorders>
              <w:top w:val="single" w:color="auto" w:sz="8" w:space="0"/>
              <w:bottom w:val="single" w:color="auto" w:sz="8" w:space="0"/>
            </w:tcBorders>
            <w:shd w:val="clear" w:color="auto" w:fill="auto"/>
            <w:vAlign w:val="center"/>
          </w:tcPr>
          <w:p w14:paraId="0E14CF2F">
            <w:pPr>
              <w:pStyle w:val="178"/>
              <w:rPr>
                <w:rFonts w:hAnsi="宋体"/>
                <w:szCs w:val="18"/>
              </w:rPr>
            </w:pPr>
            <w:r>
              <w:rPr>
                <w:rFonts w:hint="eastAsia" w:hAnsi="宋体"/>
                <w:szCs w:val="18"/>
              </w:rPr>
              <w:t>1</w:t>
            </w:r>
          </w:p>
        </w:tc>
        <w:tc>
          <w:tcPr>
            <w:tcW w:w="992" w:type="dxa"/>
            <w:tcBorders>
              <w:top w:val="single" w:color="auto" w:sz="8" w:space="0"/>
              <w:bottom w:val="single" w:color="auto" w:sz="8" w:space="0"/>
            </w:tcBorders>
            <w:shd w:val="clear" w:color="auto" w:fill="auto"/>
            <w:vAlign w:val="center"/>
          </w:tcPr>
          <w:p w14:paraId="28695D4E">
            <w:pPr>
              <w:pStyle w:val="178"/>
              <w:rPr>
                <w:rFonts w:hAnsi="宋体"/>
                <w:szCs w:val="18"/>
              </w:rPr>
            </w:pPr>
            <w:r>
              <w:rPr>
                <w:rFonts w:hint="eastAsia" w:hAnsi="宋体"/>
                <w:szCs w:val="18"/>
              </w:rPr>
              <w:t>2</w:t>
            </w:r>
          </w:p>
        </w:tc>
        <w:tc>
          <w:tcPr>
            <w:tcW w:w="851" w:type="dxa"/>
            <w:tcBorders>
              <w:top w:val="single" w:color="auto" w:sz="8" w:space="0"/>
              <w:bottom w:val="single" w:color="auto" w:sz="8" w:space="0"/>
            </w:tcBorders>
            <w:shd w:val="clear" w:color="auto" w:fill="auto"/>
            <w:vAlign w:val="center"/>
          </w:tcPr>
          <w:p w14:paraId="55C43771">
            <w:pPr>
              <w:pStyle w:val="178"/>
              <w:rPr>
                <w:rFonts w:hAnsi="宋体"/>
                <w:szCs w:val="18"/>
              </w:rPr>
            </w:pPr>
            <w:r>
              <w:rPr>
                <w:rFonts w:hint="eastAsia" w:hAnsi="宋体"/>
                <w:szCs w:val="18"/>
              </w:rPr>
              <w:t>3</w:t>
            </w:r>
          </w:p>
        </w:tc>
        <w:tc>
          <w:tcPr>
            <w:tcW w:w="850" w:type="dxa"/>
            <w:tcBorders>
              <w:top w:val="single" w:color="auto" w:sz="8" w:space="0"/>
              <w:bottom w:val="single" w:color="auto" w:sz="8" w:space="0"/>
            </w:tcBorders>
            <w:shd w:val="clear" w:color="auto" w:fill="auto"/>
            <w:vAlign w:val="center"/>
          </w:tcPr>
          <w:p w14:paraId="7FC9965A">
            <w:pPr>
              <w:pStyle w:val="178"/>
              <w:rPr>
                <w:rFonts w:hAnsi="宋体"/>
                <w:szCs w:val="18"/>
              </w:rPr>
            </w:pPr>
            <w:r>
              <w:rPr>
                <w:rFonts w:hint="eastAsia" w:hAnsi="宋体"/>
                <w:szCs w:val="18"/>
              </w:rPr>
              <w:t>4</w:t>
            </w:r>
          </w:p>
        </w:tc>
        <w:tc>
          <w:tcPr>
            <w:tcW w:w="851" w:type="dxa"/>
            <w:tcBorders>
              <w:top w:val="single" w:color="auto" w:sz="8" w:space="0"/>
              <w:bottom w:val="single" w:color="auto" w:sz="8" w:space="0"/>
            </w:tcBorders>
            <w:shd w:val="clear" w:color="auto" w:fill="auto"/>
            <w:vAlign w:val="center"/>
          </w:tcPr>
          <w:p w14:paraId="1400375F">
            <w:pPr>
              <w:pStyle w:val="178"/>
              <w:rPr>
                <w:rFonts w:hAnsi="宋体"/>
                <w:szCs w:val="18"/>
              </w:rPr>
            </w:pPr>
            <w:r>
              <w:rPr>
                <w:rFonts w:hint="eastAsia" w:hAnsi="宋体"/>
                <w:szCs w:val="18"/>
              </w:rPr>
              <w:t>5</w:t>
            </w:r>
          </w:p>
        </w:tc>
        <w:tc>
          <w:tcPr>
            <w:tcW w:w="850" w:type="dxa"/>
            <w:tcBorders>
              <w:top w:val="single" w:color="auto" w:sz="8" w:space="0"/>
              <w:bottom w:val="single" w:color="auto" w:sz="8" w:space="0"/>
            </w:tcBorders>
            <w:shd w:val="clear" w:color="auto" w:fill="auto"/>
            <w:vAlign w:val="center"/>
          </w:tcPr>
          <w:p w14:paraId="6B6F4345">
            <w:pPr>
              <w:pStyle w:val="178"/>
              <w:rPr>
                <w:rFonts w:hAnsi="宋体"/>
                <w:szCs w:val="18"/>
              </w:rPr>
            </w:pPr>
            <w:r>
              <w:rPr>
                <w:rFonts w:hAnsi="宋体"/>
                <w:szCs w:val="18"/>
              </w:rPr>
              <w:t>S1</w:t>
            </w:r>
          </w:p>
        </w:tc>
        <w:tc>
          <w:tcPr>
            <w:tcW w:w="839" w:type="dxa"/>
            <w:tcBorders>
              <w:top w:val="single" w:color="auto" w:sz="8" w:space="0"/>
              <w:bottom w:val="single" w:color="auto" w:sz="8" w:space="0"/>
            </w:tcBorders>
            <w:shd w:val="clear" w:color="auto" w:fill="auto"/>
            <w:vAlign w:val="center"/>
          </w:tcPr>
          <w:p w14:paraId="65EF40AC">
            <w:pPr>
              <w:pStyle w:val="178"/>
              <w:rPr>
                <w:rFonts w:hAnsi="宋体"/>
                <w:szCs w:val="18"/>
              </w:rPr>
            </w:pPr>
            <w:r>
              <w:rPr>
                <w:rFonts w:hAnsi="宋体"/>
                <w:szCs w:val="18"/>
              </w:rPr>
              <w:t>S</w:t>
            </w:r>
            <w:r>
              <w:rPr>
                <w:rFonts w:hint="eastAsia" w:hAnsi="宋体"/>
                <w:szCs w:val="18"/>
              </w:rPr>
              <w:t>2</w:t>
            </w:r>
          </w:p>
        </w:tc>
      </w:tr>
      <w:tr w14:paraId="6E7E94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top w:val="single" w:color="auto" w:sz="8" w:space="0"/>
            </w:tcBorders>
            <w:shd w:val="clear" w:color="auto" w:fill="auto"/>
          </w:tcPr>
          <w:p w14:paraId="1F4460E2">
            <w:pPr>
              <w:pStyle w:val="178"/>
              <w:rPr>
                <w:rFonts w:hAnsi="宋体"/>
                <w:szCs w:val="18"/>
              </w:rPr>
            </w:pPr>
            <w:r>
              <w:rPr>
                <w:rFonts w:hint="eastAsia" w:hAnsi="宋体"/>
                <w:kern w:val="2"/>
                <w:szCs w:val="18"/>
              </w:rPr>
              <w:t>标准工作</w:t>
            </w:r>
            <w:r>
              <w:rPr>
                <w:rFonts w:hAnsi="宋体"/>
                <w:kern w:val="2"/>
                <w:szCs w:val="18"/>
              </w:rPr>
              <w:t>溶液（mL）</w:t>
            </w:r>
          </w:p>
        </w:tc>
        <w:tc>
          <w:tcPr>
            <w:tcW w:w="993" w:type="dxa"/>
            <w:tcBorders>
              <w:top w:val="single" w:color="auto" w:sz="8" w:space="0"/>
            </w:tcBorders>
            <w:shd w:val="clear" w:color="auto" w:fill="auto"/>
          </w:tcPr>
          <w:p w14:paraId="6BDB6D85">
            <w:pPr>
              <w:pStyle w:val="178"/>
              <w:rPr>
                <w:rFonts w:hAnsi="宋体"/>
                <w:szCs w:val="18"/>
              </w:rPr>
            </w:pPr>
            <w:r>
              <w:rPr>
                <w:rFonts w:hint="eastAsia" w:hAnsi="宋体"/>
                <w:szCs w:val="18"/>
              </w:rPr>
              <w:t>0</w:t>
            </w:r>
          </w:p>
        </w:tc>
        <w:tc>
          <w:tcPr>
            <w:tcW w:w="850" w:type="dxa"/>
            <w:tcBorders>
              <w:top w:val="single" w:color="auto" w:sz="8" w:space="0"/>
            </w:tcBorders>
            <w:shd w:val="clear" w:color="auto" w:fill="auto"/>
          </w:tcPr>
          <w:p w14:paraId="1B9F5F84">
            <w:pPr>
              <w:pStyle w:val="178"/>
              <w:rPr>
                <w:rFonts w:hAnsi="宋体"/>
                <w:szCs w:val="18"/>
              </w:rPr>
            </w:pPr>
            <w:r>
              <w:rPr>
                <w:rFonts w:hAnsi="宋体"/>
                <w:kern w:val="2"/>
                <w:szCs w:val="18"/>
              </w:rPr>
              <w:t>0.2</w:t>
            </w:r>
          </w:p>
        </w:tc>
        <w:tc>
          <w:tcPr>
            <w:tcW w:w="992" w:type="dxa"/>
            <w:tcBorders>
              <w:top w:val="single" w:color="auto" w:sz="8" w:space="0"/>
            </w:tcBorders>
            <w:shd w:val="clear" w:color="auto" w:fill="auto"/>
          </w:tcPr>
          <w:p w14:paraId="0F447BCB">
            <w:pPr>
              <w:pStyle w:val="178"/>
              <w:rPr>
                <w:rFonts w:hAnsi="宋体"/>
                <w:szCs w:val="18"/>
              </w:rPr>
            </w:pPr>
            <w:r>
              <w:rPr>
                <w:rFonts w:hAnsi="宋体"/>
                <w:kern w:val="2"/>
                <w:szCs w:val="18"/>
              </w:rPr>
              <w:t>0.4</w:t>
            </w:r>
          </w:p>
        </w:tc>
        <w:tc>
          <w:tcPr>
            <w:tcW w:w="851" w:type="dxa"/>
            <w:tcBorders>
              <w:top w:val="single" w:color="auto" w:sz="8" w:space="0"/>
            </w:tcBorders>
            <w:shd w:val="clear" w:color="auto" w:fill="auto"/>
          </w:tcPr>
          <w:p w14:paraId="461A0531">
            <w:pPr>
              <w:pStyle w:val="178"/>
              <w:rPr>
                <w:rFonts w:hAnsi="宋体"/>
                <w:szCs w:val="18"/>
              </w:rPr>
            </w:pPr>
            <w:r>
              <w:rPr>
                <w:rFonts w:hAnsi="宋体"/>
                <w:kern w:val="2"/>
                <w:szCs w:val="18"/>
              </w:rPr>
              <w:t>0.6</w:t>
            </w:r>
          </w:p>
        </w:tc>
        <w:tc>
          <w:tcPr>
            <w:tcW w:w="850" w:type="dxa"/>
            <w:tcBorders>
              <w:top w:val="single" w:color="auto" w:sz="8" w:space="0"/>
            </w:tcBorders>
            <w:shd w:val="clear" w:color="auto" w:fill="auto"/>
          </w:tcPr>
          <w:p w14:paraId="6943528A">
            <w:pPr>
              <w:pStyle w:val="178"/>
              <w:rPr>
                <w:rFonts w:hAnsi="宋体"/>
                <w:szCs w:val="18"/>
              </w:rPr>
            </w:pPr>
            <w:r>
              <w:rPr>
                <w:rFonts w:hAnsi="宋体"/>
                <w:kern w:val="2"/>
                <w:szCs w:val="18"/>
              </w:rPr>
              <w:t>0.8</w:t>
            </w:r>
          </w:p>
        </w:tc>
        <w:tc>
          <w:tcPr>
            <w:tcW w:w="851" w:type="dxa"/>
            <w:tcBorders>
              <w:top w:val="single" w:color="auto" w:sz="8" w:space="0"/>
            </w:tcBorders>
            <w:shd w:val="clear" w:color="auto" w:fill="auto"/>
          </w:tcPr>
          <w:p w14:paraId="6B43A22B">
            <w:pPr>
              <w:pStyle w:val="178"/>
              <w:rPr>
                <w:rFonts w:hAnsi="宋体"/>
                <w:szCs w:val="18"/>
              </w:rPr>
            </w:pPr>
            <w:r>
              <w:rPr>
                <w:rFonts w:hAnsi="宋体"/>
                <w:kern w:val="2"/>
                <w:szCs w:val="18"/>
              </w:rPr>
              <w:t>1.0</w:t>
            </w:r>
          </w:p>
        </w:tc>
        <w:tc>
          <w:tcPr>
            <w:tcW w:w="850" w:type="dxa"/>
            <w:tcBorders>
              <w:top w:val="single" w:color="auto" w:sz="8" w:space="0"/>
            </w:tcBorders>
            <w:shd w:val="clear" w:color="auto" w:fill="auto"/>
          </w:tcPr>
          <w:p w14:paraId="231D0B75">
            <w:pPr>
              <w:pStyle w:val="178"/>
              <w:rPr>
                <w:rFonts w:hAnsi="宋体"/>
                <w:szCs w:val="18"/>
              </w:rPr>
            </w:pPr>
            <w:r>
              <w:rPr>
                <w:rFonts w:hint="eastAsia" w:hAnsi="宋体"/>
                <w:kern w:val="2"/>
                <w:szCs w:val="18"/>
              </w:rPr>
              <w:t>—</w:t>
            </w:r>
          </w:p>
        </w:tc>
        <w:tc>
          <w:tcPr>
            <w:tcW w:w="839" w:type="dxa"/>
            <w:tcBorders>
              <w:top w:val="single" w:color="auto" w:sz="8" w:space="0"/>
            </w:tcBorders>
            <w:shd w:val="clear" w:color="auto" w:fill="auto"/>
          </w:tcPr>
          <w:p w14:paraId="1D9B0898">
            <w:pPr>
              <w:pStyle w:val="178"/>
              <w:rPr>
                <w:rFonts w:hAnsi="宋体"/>
                <w:szCs w:val="18"/>
              </w:rPr>
            </w:pPr>
            <w:r>
              <w:rPr>
                <w:rFonts w:hint="eastAsia" w:hAnsi="宋体"/>
                <w:kern w:val="2"/>
                <w:szCs w:val="18"/>
              </w:rPr>
              <w:t>—</w:t>
            </w:r>
          </w:p>
        </w:tc>
      </w:tr>
      <w:tr w14:paraId="5DEDE7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0F4E6095">
            <w:pPr>
              <w:pStyle w:val="178"/>
              <w:rPr>
                <w:rFonts w:hAnsi="宋体"/>
                <w:szCs w:val="18"/>
              </w:rPr>
            </w:pPr>
            <w:r>
              <w:rPr>
                <w:rFonts w:hint="eastAsia" w:hAnsi="宋体"/>
                <w:kern w:val="2"/>
                <w:szCs w:val="18"/>
              </w:rPr>
              <w:t>待测</w:t>
            </w:r>
            <w:r>
              <w:rPr>
                <w:rFonts w:hAnsi="宋体"/>
                <w:kern w:val="2"/>
                <w:szCs w:val="18"/>
              </w:rPr>
              <w:t>样品溶液（mL）</w:t>
            </w:r>
          </w:p>
        </w:tc>
        <w:tc>
          <w:tcPr>
            <w:tcW w:w="993" w:type="dxa"/>
            <w:shd w:val="clear" w:color="auto" w:fill="auto"/>
          </w:tcPr>
          <w:p w14:paraId="5B47F8AB">
            <w:pPr>
              <w:pStyle w:val="178"/>
              <w:rPr>
                <w:rFonts w:hAnsi="宋体"/>
                <w:szCs w:val="18"/>
              </w:rPr>
            </w:pPr>
            <w:r>
              <w:rPr>
                <w:rFonts w:hint="eastAsia" w:hAnsi="宋体"/>
                <w:kern w:val="2"/>
                <w:szCs w:val="18"/>
              </w:rPr>
              <w:t>—</w:t>
            </w:r>
          </w:p>
        </w:tc>
        <w:tc>
          <w:tcPr>
            <w:tcW w:w="850" w:type="dxa"/>
            <w:shd w:val="clear" w:color="auto" w:fill="auto"/>
          </w:tcPr>
          <w:p w14:paraId="201FF4CF">
            <w:pPr>
              <w:pStyle w:val="178"/>
              <w:rPr>
                <w:rFonts w:hAnsi="宋体"/>
                <w:szCs w:val="18"/>
              </w:rPr>
            </w:pPr>
            <w:r>
              <w:rPr>
                <w:rFonts w:hint="eastAsia" w:hAnsi="宋体"/>
                <w:kern w:val="2"/>
                <w:szCs w:val="18"/>
              </w:rPr>
              <w:t>—</w:t>
            </w:r>
          </w:p>
        </w:tc>
        <w:tc>
          <w:tcPr>
            <w:tcW w:w="992" w:type="dxa"/>
            <w:shd w:val="clear" w:color="auto" w:fill="auto"/>
          </w:tcPr>
          <w:p w14:paraId="1DAEDA0E">
            <w:pPr>
              <w:pStyle w:val="178"/>
              <w:rPr>
                <w:rFonts w:hAnsi="宋体"/>
                <w:szCs w:val="18"/>
              </w:rPr>
            </w:pPr>
            <w:r>
              <w:rPr>
                <w:rFonts w:hint="eastAsia" w:hAnsi="宋体"/>
                <w:kern w:val="2"/>
                <w:szCs w:val="18"/>
              </w:rPr>
              <w:t>—</w:t>
            </w:r>
          </w:p>
        </w:tc>
        <w:tc>
          <w:tcPr>
            <w:tcW w:w="851" w:type="dxa"/>
            <w:shd w:val="clear" w:color="auto" w:fill="auto"/>
          </w:tcPr>
          <w:p w14:paraId="70CFCA94">
            <w:pPr>
              <w:pStyle w:val="178"/>
              <w:rPr>
                <w:rFonts w:hAnsi="宋体"/>
                <w:szCs w:val="18"/>
              </w:rPr>
            </w:pPr>
            <w:r>
              <w:rPr>
                <w:rFonts w:hint="eastAsia" w:hAnsi="宋体"/>
                <w:kern w:val="2"/>
                <w:szCs w:val="18"/>
              </w:rPr>
              <w:t>—</w:t>
            </w:r>
          </w:p>
        </w:tc>
        <w:tc>
          <w:tcPr>
            <w:tcW w:w="850" w:type="dxa"/>
            <w:shd w:val="clear" w:color="auto" w:fill="auto"/>
          </w:tcPr>
          <w:p w14:paraId="12C3C490">
            <w:pPr>
              <w:pStyle w:val="178"/>
              <w:rPr>
                <w:rFonts w:hAnsi="宋体"/>
                <w:szCs w:val="18"/>
              </w:rPr>
            </w:pPr>
            <w:r>
              <w:rPr>
                <w:rFonts w:hint="eastAsia" w:hAnsi="宋体"/>
                <w:kern w:val="2"/>
                <w:szCs w:val="18"/>
              </w:rPr>
              <w:t>—</w:t>
            </w:r>
          </w:p>
        </w:tc>
        <w:tc>
          <w:tcPr>
            <w:tcW w:w="851" w:type="dxa"/>
            <w:shd w:val="clear" w:color="auto" w:fill="auto"/>
          </w:tcPr>
          <w:p w14:paraId="172BE84F">
            <w:pPr>
              <w:pStyle w:val="178"/>
              <w:rPr>
                <w:rFonts w:hAnsi="宋体"/>
                <w:szCs w:val="18"/>
              </w:rPr>
            </w:pPr>
            <w:r>
              <w:rPr>
                <w:rFonts w:hint="eastAsia" w:hAnsi="宋体"/>
                <w:kern w:val="2"/>
                <w:szCs w:val="18"/>
              </w:rPr>
              <w:t>—</w:t>
            </w:r>
          </w:p>
        </w:tc>
        <w:tc>
          <w:tcPr>
            <w:tcW w:w="850" w:type="dxa"/>
            <w:shd w:val="clear" w:color="auto" w:fill="auto"/>
          </w:tcPr>
          <w:p w14:paraId="417A6235">
            <w:pPr>
              <w:pStyle w:val="178"/>
              <w:rPr>
                <w:rFonts w:hAnsi="宋体"/>
                <w:szCs w:val="18"/>
              </w:rPr>
            </w:pPr>
            <w:r>
              <w:rPr>
                <w:rFonts w:hAnsi="宋体"/>
                <w:kern w:val="2"/>
                <w:szCs w:val="18"/>
              </w:rPr>
              <w:t>0.5</w:t>
            </w:r>
          </w:p>
        </w:tc>
        <w:tc>
          <w:tcPr>
            <w:tcW w:w="839" w:type="dxa"/>
            <w:shd w:val="clear" w:color="auto" w:fill="auto"/>
          </w:tcPr>
          <w:p w14:paraId="547867A3">
            <w:pPr>
              <w:pStyle w:val="178"/>
              <w:rPr>
                <w:rFonts w:hAnsi="宋体"/>
                <w:szCs w:val="18"/>
              </w:rPr>
            </w:pPr>
            <w:r>
              <w:rPr>
                <w:rFonts w:hAnsi="宋体"/>
                <w:kern w:val="2"/>
                <w:szCs w:val="18"/>
              </w:rPr>
              <w:t>0.5</w:t>
            </w:r>
          </w:p>
        </w:tc>
      </w:tr>
      <w:tr w14:paraId="78AA6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05B4ABC8">
            <w:pPr>
              <w:pStyle w:val="178"/>
              <w:rPr>
                <w:rFonts w:hAnsi="宋体"/>
                <w:szCs w:val="18"/>
              </w:rPr>
            </w:pPr>
            <w:r>
              <w:rPr>
                <w:rFonts w:hAnsi="宋体"/>
                <w:kern w:val="2"/>
                <w:szCs w:val="18"/>
              </w:rPr>
              <w:t>纯净水（mL）</w:t>
            </w:r>
          </w:p>
        </w:tc>
        <w:tc>
          <w:tcPr>
            <w:tcW w:w="993" w:type="dxa"/>
            <w:shd w:val="clear" w:color="auto" w:fill="auto"/>
          </w:tcPr>
          <w:p w14:paraId="7A980F28">
            <w:pPr>
              <w:pStyle w:val="178"/>
              <w:rPr>
                <w:rFonts w:hAnsi="宋体"/>
                <w:szCs w:val="18"/>
              </w:rPr>
            </w:pPr>
            <w:r>
              <w:rPr>
                <w:rFonts w:hAnsi="宋体"/>
                <w:kern w:val="2"/>
                <w:szCs w:val="18"/>
              </w:rPr>
              <w:t>1.0</w:t>
            </w:r>
          </w:p>
        </w:tc>
        <w:tc>
          <w:tcPr>
            <w:tcW w:w="850" w:type="dxa"/>
            <w:shd w:val="clear" w:color="auto" w:fill="auto"/>
          </w:tcPr>
          <w:p w14:paraId="01AD19E6">
            <w:pPr>
              <w:pStyle w:val="178"/>
              <w:rPr>
                <w:rFonts w:hAnsi="宋体"/>
                <w:szCs w:val="18"/>
              </w:rPr>
            </w:pPr>
            <w:r>
              <w:rPr>
                <w:rFonts w:hAnsi="宋体"/>
                <w:kern w:val="2"/>
                <w:szCs w:val="18"/>
              </w:rPr>
              <w:t>0.8</w:t>
            </w:r>
          </w:p>
        </w:tc>
        <w:tc>
          <w:tcPr>
            <w:tcW w:w="992" w:type="dxa"/>
            <w:shd w:val="clear" w:color="auto" w:fill="auto"/>
          </w:tcPr>
          <w:p w14:paraId="57E7FA6A">
            <w:pPr>
              <w:pStyle w:val="178"/>
              <w:rPr>
                <w:rFonts w:hAnsi="宋体"/>
                <w:szCs w:val="18"/>
              </w:rPr>
            </w:pPr>
            <w:r>
              <w:rPr>
                <w:rFonts w:hAnsi="宋体"/>
                <w:kern w:val="2"/>
                <w:szCs w:val="18"/>
              </w:rPr>
              <w:t>0.6</w:t>
            </w:r>
          </w:p>
        </w:tc>
        <w:tc>
          <w:tcPr>
            <w:tcW w:w="851" w:type="dxa"/>
            <w:shd w:val="clear" w:color="auto" w:fill="auto"/>
          </w:tcPr>
          <w:p w14:paraId="35A02944">
            <w:pPr>
              <w:pStyle w:val="178"/>
              <w:rPr>
                <w:rFonts w:hAnsi="宋体"/>
                <w:szCs w:val="18"/>
              </w:rPr>
            </w:pPr>
            <w:r>
              <w:rPr>
                <w:rFonts w:hAnsi="宋体"/>
                <w:kern w:val="2"/>
                <w:szCs w:val="18"/>
              </w:rPr>
              <w:t>0.4</w:t>
            </w:r>
          </w:p>
        </w:tc>
        <w:tc>
          <w:tcPr>
            <w:tcW w:w="850" w:type="dxa"/>
            <w:shd w:val="clear" w:color="auto" w:fill="auto"/>
          </w:tcPr>
          <w:p w14:paraId="529646A9">
            <w:pPr>
              <w:pStyle w:val="178"/>
              <w:rPr>
                <w:rFonts w:hAnsi="宋体"/>
                <w:szCs w:val="18"/>
              </w:rPr>
            </w:pPr>
            <w:r>
              <w:rPr>
                <w:rFonts w:hAnsi="宋体"/>
                <w:kern w:val="2"/>
                <w:szCs w:val="18"/>
              </w:rPr>
              <w:t>0.2</w:t>
            </w:r>
          </w:p>
        </w:tc>
        <w:tc>
          <w:tcPr>
            <w:tcW w:w="851" w:type="dxa"/>
            <w:shd w:val="clear" w:color="auto" w:fill="auto"/>
          </w:tcPr>
          <w:p w14:paraId="59EF8B23">
            <w:pPr>
              <w:pStyle w:val="178"/>
              <w:rPr>
                <w:rFonts w:hAnsi="宋体"/>
                <w:szCs w:val="18"/>
              </w:rPr>
            </w:pPr>
            <w:r>
              <w:rPr>
                <w:rFonts w:hAnsi="宋体"/>
                <w:kern w:val="2"/>
                <w:szCs w:val="18"/>
              </w:rPr>
              <w:t>0</w:t>
            </w:r>
          </w:p>
        </w:tc>
        <w:tc>
          <w:tcPr>
            <w:tcW w:w="850" w:type="dxa"/>
            <w:shd w:val="clear" w:color="auto" w:fill="auto"/>
          </w:tcPr>
          <w:p w14:paraId="5D70AF2F">
            <w:pPr>
              <w:pStyle w:val="178"/>
              <w:rPr>
                <w:rFonts w:hAnsi="宋体"/>
                <w:szCs w:val="18"/>
              </w:rPr>
            </w:pPr>
            <w:r>
              <w:rPr>
                <w:rFonts w:hAnsi="宋体"/>
                <w:kern w:val="2"/>
                <w:szCs w:val="18"/>
              </w:rPr>
              <w:t>0.5</w:t>
            </w:r>
          </w:p>
        </w:tc>
        <w:tc>
          <w:tcPr>
            <w:tcW w:w="839" w:type="dxa"/>
            <w:shd w:val="clear" w:color="auto" w:fill="auto"/>
          </w:tcPr>
          <w:p w14:paraId="0D240F5E">
            <w:pPr>
              <w:pStyle w:val="178"/>
              <w:rPr>
                <w:rFonts w:hAnsi="宋体"/>
                <w:szCs w:val="18"/>
              </w:rPr>
            </w:pPr>
            <w:r>
              <w:rPr>
                <w:rFonts w:hAnsi="宋体"/>
                <w:kern w:val="2"/>
                <w:szCs w:val="18"/>
              </w:rPr>
              <w:t>0.5</w:t>
            </w:r>
          </w:p>
        </w:tc>
      </w:tr>
      <w:tr w14:paraId="45975A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shd w:val="clear" w:color="auto" w:fill="auto"/>
          </w:tcPr>
          <w:p w14:paraId="0BE5741B">
            <w:pPr>
              <w:pStyle w:val="178"/>
              <w:rPr>
                <w:rFonts w:hAnsi="宋体"/>
                <w:szCs w:val="18"/>
              </w:rPr>
            </w:pPr>
            <w:r>
              <w:rPr>
                <w:rFonts w:hint="eastAsia" w:hAnsi="宋体"/>
                <w:kern w:val="2"/>
                <w:szCs w:val="18"/>
              </w:rPr>
              <w:t>5</w:t>
            </w:r>
            <w:r>
              <w:rPr>
                <w:rFonts w:hAnsi="宋体"/>
                <w:kern w:val="2"/>
                <w:szCs w:val="18"/>
              </w:rPr>
              <w:t>%苯酚（mL）</w:t>
            </w:r>
          </w:p>
        </w:tc>
        <w:tc>
          <w:tcPr>
            <w:tcW w:w="993" w:type="dxa"/>
            <w:shd w:val="clear" w:color="auto" w:fill="auto"/>
          </w:tcPr>
          <w:p w14:paraId="39D8F5F8">
            <w:pPr>
              <w:pStyle w:val="178"/>
              <w:rPr>
                <w:rFonts w:hAnsi="宋体"/>
                <w:szCs w:val="18"/>
              </w:rPr>
            </w:pPr>
            <w:r>
              <w:rPr>
                <w:rFonts w:hAnsi="宋体"/>
                <w:kern w:val="2"/>
                <w:szCs w:val="18"/>
              </w:rPr>
              <w:t>1.0</w:t>
            </w:r>
          </w:p>
        </w:tc>
        <w:tc>
          <w:tcPr>
            <w:tcW w:w="850" w:type="dxa"/>
            <w:shd w:val="clear" w:color="auto" w:fill="auto"/>
          </w:tcPr>
          <w:p w14:paraId="4A5E397F">
            <w:pPr>
              <w:pStyle w:val="178"/>
              <w:rPr>
                <w:rFonts w:hAnsi="宋体"/>
                <w:szCs w:val="18"/>
              </w:rPr>
            </w:pPr>
            <w:r>
              <w:rPr>
                <w:rFonts w:hAnsi="宋体"/>
                <w:kern w:val="2"/>
                <w:szCs w:val="18"/>
              </w:rPr>
              <w:t>1.0</w:t>
            </w:r>
          </w:p>
        </w:tc>
        <w:tc>
          <w:tcPr>
            <w:tcW w:w="992" w:type="dxa"/>
            <w:shd w:val="clear" w:color="auto" w:fill="auto"/>
          </w:tcPr>
          <w:p w14:paraId="782354EA">
            <w:pPr>
              <w:pStyle w:val="178"/>
              <w:rPr>
                <w:rFonts w:hAnsi="宋体"/>
                <w:szCs w:val="18"/>
              </w:rPr>
            </w:pPr>
            <w:r>
              <w:rPr>
                <w:rFonts w:hAnsi="宋体"/>
                <w:kern w:val="2"/>
                <w:szCs w:val="18"/>
              </w:rPr>
              <w:t>1.0</w:t>
            </w:r>
          </w:p>
        </w:tc>
        <w:tc>
          <w:tcPr>
            <w:tcW w:w="851" w:type="dxa"/>
            <w:shd w:val="clear" w:color="auto" w:fill="auto"/>
          </w:tcPr>
          <w:p w14:paraId="13ACC578">
            <w:pPr>
              <w:pStyle w:val="178"/>
              <w:rPr>
                <w:rFonts w:hAnsi="宋体"/>
                <w:szCs w:val="18"/>
              </w:rPr>
            </w:pPr>
            <w:r>
              <w:rPr>
                <w:rFonts w:hAnsi="宋体"/>
                <w:kern w:val="2"/>
                <w:szCs w:val="18"/>
              </w:rPr>
              <w:t>1.0</w:t>
            </w:r>
          </w:p>
        </w:tc>
        <w:tc>
          <w:tcPr>
            <w:tcW w:w="850" w:type="dxa"/>
            <w:shd w:val="clear" w:color="auto" w:fill="auto"/>
          </w:tcPr>
          <w:p w14:paraId="010AC16A">
            <w:pPr>
              <w:pStyle w:val="178"/>
              <w:rPr>
                <w:rFonts w:hAnsi="宋体"/>
                <w:szCs w:val="18"/>
              </w:rPr>
            </w:pPr>
            <w:r>
              <w:rPr>
                <w:rFonts w:hAnsi="宋体"/>
                <w:kern w:val="2"/>
                <w:szCs w:val="18"/>
              </w:rPr>
              <w:t>1.0</w:t>
            </w:r>
          </w:p>
        </w:tc>
        <w:tc>
          <w:tcPr>
            <w:tcW w:w="851" w:type="dxa"/>
            <w:shd w:val="clear" w:color="auto" w:fill="auto"/>
          </w:tcPr>
          <w:p w14:paraId="159936A9">
            <w:pPr>
              <w:pStyle w:val="178"/>
              <w:rPr>
                <w:rFonts w:hAnsi="宋体"/>
                <w:szCs w:val="18"/>
              </w:rPr>
            </w:pPr>
            <w:r>
              <w:rPr>
                <w:rFonts w:hAnsi="宋体"/>
                <w:kern w:val="2"/>
                <w:szCs w:val="18"/>
              </w:rPr>
              <w:t>1.0</w:t>
            </w:r>
          </w:p>
        </w:tc>
        <w:tc>
          <w:tcPr>
            <w:tcW w:w="850" w:type="dxa"/>
            <w:shd w:val="clear" w:color="auto" w:fill="auto"/>
          </w:tcPr>
          <w:p w14:paraId="3DEAB75A">
            <w:pPr>
              <w:pStyle w:val="178"/>
              <w:rPr>
                <w:rFonts w:hAnsi="宋体"/>
                <w:szCs w:val="18"/>
              </w:rPr>
            </w:pPr>
            <w:r>
              <w:rPr>
                <w:rFonts w:hAnsi="宋体"/>
                <w:kern w:val="2"/>
                <w:szCs w:val="18"/>
              </w:rPr>
              <w:t>1.0</w:t>
            </w:r>
          </w:p>
        </w:tc>
        <w:tc>
          <w:tcPr>
            <w:tcW w:w="839" w:type="dxa"/>
            <w:shd w:val="clear" w:color="auto" w:fill="auto"/>
          </w:tcPr>
          <w:p w14:paraId="6BFB3783">
            <w:pPr>
              <w:pStyle w:val="178"/>
              <w:rPr>
                <w:rFonts w:hAnsi="宋体"/>
                <w:szCs w:val="18"/>
              </w:rPr>
            </w:pPr>
            <w:r>
              <w:rPr>
                <w:rFonts w:hAnsi="宋体"/>
                <w:kern w:val="2"/>
                <w:szCs w:val="18"/>
              </w:rPr>
              <w:t>1.0</w:t>
            </w:r>
          </w:p>
        </w:tc>
      </w:tr>
      <w:tr w14:paraId="02242B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8" w:type="dxa"/>
            <w:tcBorders>
              <w:bottom w:val="single" w:color="auto" w:sz="8" w:space="0"/>
            </w:tcBorders>
            <w:shd w:val="clear" w:color="auto" w:fill="auto"/>
          </w:tcPr>
          <w:p w14:paraId="302B92CC">
            <w:pPr>
              <w:pStyle w:val="178"/>
              <w:rPr>
                <w:rFonts w:hAnsi="宋体"/>
                <w:szCs w:val="18"/>
              </w:rPr>
            </w:pPr>
            <w:r>
              <w:rPr>
                <w:rFonts w:hAnsi="宋体"/>
                <w:kern w:val="2"/>
                <w:szCs w:val="18"/>
              </w:rPr>
              <w:t>硫酸溶液（mL）</w:t>
            </w:r>
          </w:p>
        </w:tc>
        <w:tc>
          <w:tcPr>
            <w:tcW w:w="993" w:type="dxa"/>
            <w:tcBorders>
              <w:bottom w:val="single" w:color="auto" w:sz="8" w:space="0"/>
            </w:tcBorders>
            <w:shd w:val="clear" w:color="auto" w:fill="auto"/>
          </w:tcPr>
          <w:p w14:paraId="372BBD57">
            <w:pPr>
              <w:pStyle w:val="178"/>
              <w:rPr>
                <w:rFonts w:hAnsi="宋体"/>
                <w:szCs w:val="18"/>
              </w:rPr>
            </w:pPr>
            <w:r>
              <w:rPr>
                <w:rFonts w:hAnsi="宋体"/>
                <w:kern w:val="2"/>
                <w:szCs w:val="18"/>
              </w:rPr>
              <w:t>6</w:t>
            </w:r>
          </w:p>
        </w:tc>
        <w:tc>
          <w:tcPr>
            <w:tcW w:w="850" w:type="dxa"/>
            <w:tcBorders>
              <w:bottom w:val="single" w:color="auto" w:sz="8" w:space="0"/>
            </w:tcBorders>
            <w:shd w:val="clear" w:color="auto" w:fill="auto"/>
          </w:tcPr>
          <w:p w14:paraId="7A519AE7">
            <w:pPr>
              <w:pStyle w:val="178"/>
              <w:rPr>
                <w:rFonts w:hAnsi="宋体"/>
                <w:szCs w:val="18"/>
              </w:rPr>
            </w:pPr>
            <w:r>
              <w:rPr>
                <w:rFonts w:hAnsi="宋体"/>
                <w:kern w:val="2"/>
                <w:szCs w:val="18"/>
              </w:rPr>
              <w:t>6</w:t>
            </w:r>
          </w:p>
        </w:tc>
        <w:tc>
          <w:tcPr>
            <w:tcW w:w="992" w:type="dxa"/>
            <w:tcBorders>
              <w:bottom w:val="single" w:color="auto" w:sz="8" w:space="0"/>
            </w:tcBorders>
            <w:shd w:val="clear" w:color="auto" w:fill="auto"/>
          </w:tcPr>
          <w:p w14:paraId="7ABB2148">
            <w:pPr>
              <w:pStyle w:val="178"/>
              <w:rPr>
                <w:rFonts w:hAnsi="宋体"/>
                <w:szCs w:val="18"/>
              </w:rPr>
            </w:pPr>
            <w:r>
              <w:rPr>
                <w:rFonts w:hAnsi="宋体"/>
                <w:kern w:val="2"/>
                <w:szCs w:val="18"/>
              </w:rPr>
              <w:t>6</w:t>
            </w:r>
          </w:p>
        </w:tc>
        <w:tc>
          <w:tcPr>
            <w:tcW w:w="851" w:type="dxa"/>
            <w:tcBorders>
              <w:bottom w:val="single" w:color="auto" w:sz="8" w:space="0"/>
            </w:tcBorders>
            <w:shd w:val="clear" w:color="auto" w:fill="auto"/>
          </w:tcPr>
          <w:p w14:paraId="28A96BC7">
            <w:pPr>
              <w:pStyle w:val="178"/>
              <w:rPr>
                <w:rFonts w:hAnsi="宋体"/>
                <w:szCs w:val="18"/>
              </w:rPr>
            </w:pPr>
            <w:r>
              <w:rPr>
                <w:rFonts w:hAnsi="宋体"/>
                <w:kern w:val="2"/>
                <w:szCs w:val="18"/>
              </w:rPr>
              <w:t>6</w:t>
            </w:r>
          </w:p>
        </w:tc>
        <w:tc>
          <w:tcPr>
            <w:tcW w:w="850" w:type="dxa"/>
            <w:tcBorders>
              <w:bottom w:val="single" w:color="auto" w:sz="8" w:space="0"/>
            </w:tcBorders>
            <w:shd w:val="clear" w:color="auto" w:fill="auto"/>
          </w:tcPr>
          <w:p w14:paraId="69852146">
            <w:pPr>
              <w:pStyle w:val="178"/>
              <w:rPr>
                <w:rFonts w:hAnsi="宋体"/>
                <w:szCs w:val="18"/>
              </w:rPr>
            </w:pPr>
            <w:r>
              <w:rPr>
                <w:rFonts w:hAnsi="宋体"/>
                <w:kern w:val="2"/>
                <w:szCs w:val="18"/>
              </w:rPr>
              <w:t>6</w:t>
            </w:r>
          </w:p>
        </w:tc>
        <w:tc>
          <w:tcPr>
            <w:tcW w:w="851" w:type="dxa"/>
            <w:tcBorders>
              <w:bottom w:val="single" w:color="auto" w:sz="8" w:space="0"/>
            </w:tcBorders>
            <w:shd w:val="clear" w:color="auto" w:fill="auto"/>
          </w:tcPr>
          <w:p w14:paraId="22AA21DC">
            <w:pPr>
              <w:pStyle w:val="178"/>
              <w:rPr>
                <w:rFonts w:hAnsi="宋体"/>
                <w:szCs w:val="18"/>
              </w:rPr>
            </w:pPr>
            <w:r>
              <w:rPr>
                <w:rFonts w:hAnsi="宋体"/>
                <w:kern w:val="2"/>
                <w:szCs w:val="18"/>
              </w:rPr>
              <w:t>6</w:t>
            </w:r>
          </w:p>
        </w:tc>
        <w:tc>
          <w:tcPr>
            <w:tcW w:w="850" w:type="dxa"/>
            <w:tcBorders>
              <w:bottom w:val="single" w:color="auto" w:sz="8" w:space="0"/>
            </w:tcBorders>
            <w:shd w:val="clear" w:color="auto" w:fill="auto"/>
          </w:tcPr>
          <w:p w14:paraId="5225EB44">
            <w:pPr>
              <w:pStyle w:val="178"/>
              <w:rPr>
                <w:rFonts w:hAnsi="宋体"/>
                <w:szCs w:val="18"/>
              </w:rPr>
            </w:pPr>
            <w:r>
              <w:rPr>
                <w:rFonts w:hAnsi="宋体"/>
                <w:kern w:val="2"/>
                <w:szCs w:val="18"/>
              </w:rPr>
              <w:t>6</w:t>
            </w:r>
          </w:p>
        </w:tc>
        <w:tc>
          <w:tcPr>
            <w:tcW w:w="839" w:type="dxa"/>
            <w:tcBorders>
              <w:bottom w:val="single" w:color="auto" w:sz="8" w:space="0"/>
            </w:tcBorders>
            <w:shd w:val="clear" w:color="auto" w:fill="auto"/>
          </w:tcPr>
          <w:p w14:paraId="74DAB6D3">
            <w:pPr>
              <w:pStyle w:val="178"/>
              <w:rPr>
                <w:rFonts w:hAnsi="宋体"/>
                <w:szCs w:val="18"/>
              </w:rPr>
            </w:pPr>
            <w:r>
              <w:rPr>
                <w:rFonts w:hAnsi="宋体"/>
                <w:kern w:val="2"/>
                <w:szCs w:val="18"/>
              </w:rPr>
              <w:t>6</w:t>
            </w:r>
          </w:p>
        </w:tc>
      </w:tr>
      <w:tr w14:paraId="7AEBED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9"/>
            <w:tcBorders>
              <w:top w:val="single" w:color="auto" w:sz="8" w:space="0"/>
            </w:tcBorders>
            <w:shd w:val="clear" w:color="auto" w:fill="auto"/>
          </w:tcPr>
          <w:p w14:paraId="35998160">
            <w:pPr>
              <w:pStyle w:val="179"/>
            </w:pPr>
            <w:r>
              <w:rPr>
                <w:rFonts w:hint="eastAsia"/>
                <w:kern w:val="2"/>
              </w:rPr>
              <w:t>先</w:t>
            </w:r>
            <w:r>
              <w:rPr>
                <w:kern w:val="2"/>
              </w:rPr>
              <w:t>室温静</w:t>
            </w:r>
            <w:r>
              <w:rPr>
                <w:rFonts w:hint="eastAsia"/>
                <w:kern w:val="2"/>
              </w:rPr>
              <w:t>置1</w:t>
            </w:r>
            <w:r>
              <w:rPr>
                <w:kern w:val="2"/>
              </w:rPr>
              <w:t>0</w:t>
            </w:r>
            <w:r>
              <w:rPr>
                <w:rFonts w:hint="eastAsia"/>
                <w:kern w:val="2"/>
                <w:vertAlign w:val="superscript"/>
              </w:rPr>
              <w:t xml:space="preserve"> </w:t>
            </w:r>
            <w:r>
              <w:rPr>
                <w:kern w:val="2"/>
              </w:rPr>
              <w:t>min</w:t>
            </w:r>
            <w:r>
              <w:rPr>
                <w:rFonts w:hint="eastAsia"/>
                <w:kern w:val="2"/>
              </w:rPr>
              <w:t>，涡旋混匀后，将试管置于</w:t>
            </w:r>
            <w:r>
              <w:rPr>
                <w:rFonts w:hint="eastAsia"/>
              </w:rPr>
              <w:t>30</w:t>
            </w:r>
            <w:r>
              <w:rPr>
                <w:rFonts w:hint="eastAsia"/>
                <w:vertAlign w:val="superscript"/>
              </w:rPr>
              <w:t xml:space="preserve"> </w:t>
            </w:r>
            <w:r>
              <w:rPr>
                <w:rFonts w:hint="eastAsia"/>
              </w:rPr>
              <w:t>℃水浴中反应20</w:t>
            </w:r>
            <w:r>
              <w:rPr>
                <w:rFonts w:hint="eastAsia"/>
                <w:vertAlign w:val="superscript"/>
              </w:rPr>
              <w:t xml:space="preserve"> </w:t>
            </w:r>
            <w:r>
              <w:rPr>
                <w:rFonts w:hint="eastAsia"/>
              </w:rPr>
              <w:t>min，测定。</w:t>
            </w:r>
          </w:p>
        </w:tc>
      </w:tr>
    </w:tbl>
    <w:p w14:paraId="6FE5C303">
      <w:pPr>
        <w:pStyle w:val="78"/>
        <w:numPr>
          <w:ilvl w:val="0"/>
          <w:numId w:val="0"/>
        </w:numPr>
        <w:spacing w:before="120" w:after="120"/>
        <w:rPr>
          <w:rFonts w:ascii="Times New Roman"/>
        </w:rPr>
      </w:pPr>
    </w:p>
    <w:p w14:paraId="59A4F468">
      <w:pPr>
        <w:pStyle w:val="78"/>
        <w:spacing w:before="120" w:after="120"/>
        <w:rPr>
          <w:rFonts w:ascii="Times New Roman"/>
        </w:rPr>
      </w:pPr>
      <w:r>
        <w:rPr>
          <w:rFonts w:hint="eastAsia" w:ascii="Times New Roman"/>
        </w:rPr>
        <w:t>结果计算</w:t>
      </w:r>
    </w:p>
    <w:p w14:paraId="22E96BC1">
      <w:pPr>
        <w:pStyle w:val="56"/>
        <w:ind w:firstLine="420"/>
      </w:pPr>
      <w:r>
        <w:rPr>
          <w:rFonts w:hint="eastAsia"/>
        </w:rPr>
        <w:t>样品中总多糖的含量以质量分数</w:t>
      </w:r>
      <m:oMath>
        <m:r>
          <m:rPr/>
          <w:rPr>
            <w:rFonts w:ascii="Cambria Math" w:hAnsi="Cambria Math"/>
          </w:rPr>
          <m:t>X</m:t>
        </m:r>
      </m:oMath>
      <w:r>
        <w:rPr>
          <w:rFonts w:hint="eastAsia"/>
        </w:rPr>
        <w:t>计，单位以%表示，按式</w:t>
      </w:r>
      <w:r>
        <w:t>C.</w:t>
      </w:r>
      <w:r>
        <w:fldChar w:fldCharType="begin"/>
      </w:r>
      <w:r>
        <w:instrText xml:space="preserve"> seq fulu_equation_133952223895295913 </w:instrText>
      </w:r>
      <w:r>
        <w:fldChar w:fldCharType="separate"/>
      </w:r>
      <w:r>
        <w:rPr>
          <w:rFonts w:hint="eastAsia"/>
        </w:rPr>
        <w:t>1</w:t>
      </w:r>
      <w:r>
        <w:fldChar w:fldCharType="end"/>
      </w:r>
      <w:r>
        <w:rPr>
          <w:rFonts w:hint="eastAsia"/>
        </w:rPr>
        <w:t>计算：</w:t>
      </w:r>
    </w:p>
    <w:p w14:paraId="372E447F">
      <w:pPr>
        <w:pStyle w:val="113"/>
        <w:rPr>
          <w:rFonts w:ascii="Times New Roman" w:hAnsi="Times New Roman"/>
        </w:rPr>
      </w:pPr>
      <w:r>
        <w:rPr>
          <w:rFonts w:hint="eastAsia" w:ascii="Times New Roman" w:hAnsi="Times New Roman"/>
        </w:rPr>
        <w:tab/>
      </w:r>
      <m:oMath>
        <m:r>
          <m:rPr/>
          <w:rPr>
            <w:rFonts w:ascii="Cambria Math" w:hAnsi="Cambria Math"/>
          </w:rPr>
          <m:t>X=</m:t>
        </m:r>
        <m:f>
          <m:fPr>
            <m:type m:val="lin"/>
            <m:ctrlPr>
              <w:rPr>
                <w:rFonts w:ascii="Cambria Math" w:hAnsi="Cambria Math"/>
                <w:i/>
              </w:rPr>
            </m:ctrlPr>
          </m:fPr>
          <m:num>
            <m:r>
              <m:rPr/>
              <w:rPr>
                <w:rFonts w:ascii="Cambria Math" w:hAnsi="Cambria Math"/>
              </w:rPr>
              <m:t>m×V1</m:t>
            </m:r>
            <m:ctrlPr>
              <w:rPr>
                <w:rFonts w:ascii="Cambria Math" w:hAnsi="Cambria Math"/>
                <w:i/>
              </w:rPr>
            </m:ctrlPr>
          </m:num>
          <m:den>
            <m:r>
              <m:rPr/>
              <w:rPr>
                <w:rFonts w:ascii="Cambria Math" w:hAnsi="Cambria Math"/>
              </w:rPr>
              <m:t>(W</m:t>
            </m:r>
            <w:bookmarkStart w:id="60" w:name="OLE_LINK18"/>
            <m:r>
              <m:rPr>
                <m:sty m:val="p"/>
              </m:rPr>
              <w:rPr>
                <w:rFonts w:ascii="Cambria Math" w:hAnsi="Cambria Math"/>
              </w:rPr>
              <m:t>×</m:t>
            </m:r>
            <w:bookmarkEnd w:id="60"/>
            <m:r>
              <m:rPr>
                <m:sty m:val="p"/>
              </m:rPr>
              <w:rPr>
                <w:rFonts w:ascii="Cambria Math" w:hAnsi="Cambria Math"/>
              </w:rPr>
              <m:t>V2×10000)</m:t>
            </m:r>
            <m:ctrlPr>
              <w:rPr>
                <w:rFonts w:ascii="Cambria Math" w:hAnsi="Cambria Math"/>
                <w:i/>
              </w:rPr>
            </m:ctrlPr>
          </m:den>
        </m:f>
      </m:oMath>
      <w:r>
        <w:rPr>
          <w:rFonts w:hint="eastAsia" w:ascii="Times New Roman" w:hAnsi="Times New Roman" w:eastAsia="微软雅黑"/>
        </w:rPr>
        <w:tab/>
      </w:r>
      <w:r>
        <w:t>(C.</w:t>
      </w:r>
      <w:r>
        <w:fldChar w:fldCharType="begin"/>
      </w:r>
      <w:r>
        <w:instrText xml:space="preserve"> seq fulu_equation_133952223895295913 </w:instrText>
      </w:r>
      <w:r>
        <w:fldChar w:fldCharType="separate"/>
      </w:r>
      <w:r>
        <w:rPr>
          <w:rFonts w:hint="eastAsia"/>
        </w:rPr>
        <w:t>1</w:t>
      </w:r>
      <w:r>
        <w:fldChar w:fldCharType="end"/>
      </w:r>
      <w:r>
        <w:t>)</w:t>
      </w:r>
    </w:p>
    <w:p w14:paraId="0C23D595">
      <w:pPr>
        <w:pStyle w:val="55"/>
        <w:ind w:firstLine="420"/>
        <w:rPr>
          <w:rFonts w:ascii="Times New Roman" w:hAnsi="Times New Roman"/>
        </w:rPr>
      </w:pPr>
      <w:r>
        <w:rPr>
          <w:rFonts w:hint="eastAsia" w:ascii="Times New Roman" w:hAnsi="Times New Roman"/>
        </w:rPr>
        <w:t>式中：</w:t>
      </w:r>
    </w:p>
    <w:p w14:paraId="10445D94">
      <w:pPr>
        <w:pStyle w:val="56"/>
        <w:ind w:firstLine="420"/>
        <w:rPr>
          <w:rFonts w:ascii="Times New Roman"/>
        </w:rPr>
      </w:pPr>
      <m:oMath>
        <m:r>
          <m:rPr/>
          <w:rPr>
            <w:rFonts w:ascii="Cambria Math" w:hAnsi="Cambria Math"/>
          </w:rPr>
          <m:t>m</m:t>
        </m:r>
      </m:oMath>
      <w:r>
        <w:rPr>
          <w:rFonts w:hint="eastAsia" w:ascii="Times New Roman"/>
        </w:rPr>
        <w:t>—从标准曲线上查得待测样品溶液中含糖量，单位为微克</w:t>
      </w:r>
      <w:r>
        <w:rPr>
          <w:rFonts w:hint="eastAsia" w:hAnsi="宋体"/>
        </w:rPr>
        <w:t xml:space="preserve"> (</w:t>
      </w:r>
      <w:r>
        <w:rPr>
          <w:rFonts w:hAnsi="宋体"/>
        </w:rPr>
        <w:t>μg</w:t>
      </w:r>
      <w:r>
        <w:rPr>
          <w:rFonts w:hint="eastAsia" w:hAnsi="宋体"/>
        </w:rPr>
        <w:t>)；</w:t>
      </w:r>
    </w:p>
    <w:p w14:paraId="71728BE1">
      <w:pPr>
        <w:pStyle w:val="56"/>
        <w:ind w:firstLine="420"/>
        <w:rPr>
          <w:rFonts w:ascii="Times New Roman"/>
        </w:rPr>
      </w:pPr>
      <m:oMath>
        <m:r>
          <m:rPr/>
          <w:rPr>
            <w:rFonts w:ascii="Cambria Math" w:hAnsi="Cambria Math"/>
            <w:kern w:val="2"/>
            <w:szCs w:val="21"/>
          </w:rPr>
          <m:t>V1</m:t>
        </m:r>
      </m:oMath>
      <w:r>
        <w:rPr>
          <w:rFonts w:hint="eastAsia" w:ascii="Times New Roman"/>
          <w:kern w:val="2"/>
          <w:szCs w:val="21"/>
        </w:rPr>
        <w:t>—</w:t>
      </w:r>
      <w:r>
        <w:rPr>
          <w:rFonts w:hint="eastAsia" w:ascii="Times New Roman"/>
        </w:rPr>
        <w:t>样品定容体积，单位为毫升</w:t>
      </w:r>
      <w:r>
        <w:rPr>
          <w:rFonts w:hint="eastAsia" w:hAnsi="宋体"/>
        </w:rPr>
        <w:t>（mL）；</w:t>
      </w:r>
    </w:p>
    <w:p w14:paraId="1582D608">
      <w:pPr>
        <w:pStyle w:val="56"/>
        <w:ind w:firstLine="420"/>
        <w:rPr>
          <w:rFonts w:ascii="Times New Roman"/>
        </w:rPr>
      </w:pPr>
      <w:r>
        <w:rPr>
          <w:rFonts w:hint="eastAsia" w:ascii="Times New Roman"/>
          <w:i/>
          <w:iCs/>
        </w:rPr>
        <w:t>V2</w:t>
      </w:r>
      <w:r>
        <w:rPr>
          <w:rFonts w:hint="eastAsia" w:ascii="Times New Roman"/>
        </w:rPr>
        <w:t>—比色测定时所移取待测样品溶液的体积，单位为毫升</w:t>
      </w:r>
      <w:r>
        <w:rPr>
          <w:rFonts w:hint="eastAsia" w:hAnsi="宋体"/>
        </w:rPr>
        <w:t>（mL）；</w:t>
      </w:r>
    </w:p>
    <w:p w14:paraId="144B6BB7">
      <w:pPr>
        <w:pStyle w:val="56"/>
        <w:ind w:firstLine="420"/>
        <w:rPr>
          <w:rFonts w:ascii="Times New Roman"/>
        </w:rPr>
      </w:pPr>
      <m:oMath>
        <m:r>
          <m:rPr/>
          <w:rPr>
            <w:rFonts w:ascii="Cambria Math" w:hAnsi="Cambria Math"/>
          </w:rPr>
          <m:t>W</m:t>
        </m:r>
      </m:oMath>
      <w:r>
        <w:rPr>
          <w:rFonts w:hint="eastAsia" w:ascii="Times New Roman"/>
        </w:rPr>
        <w:t>—样品的取样体积，单位为毫升</w:t>
      </w:r>
      <w:r>
        <w:rPr>
          <w:rFonts w:hint="eastAsia" w:hAnsi="宋体"/>
        </w:rPr>
        <w:t>（mL）。</w:t>
      </w:r>
    </w:p>
    <w:p w14:paraId="6ED98F06">
      <w:pPr>
        <w:pStyle w:val="56"/>
        <w:ind w:firstLine="420"/>
        <w:rPr>
          <w:rFonts w:ascii="Times New Roman"/>
        </w:rPr>
      </w:pPr>
      <w:r>
        <w:rPr>
          <w:rFonts w:hint="eastAsia" w:ascii="Times New Roman"/>
        </w:rPr>
        <w:t>计算结果表示到小数点后两位。</w:t>
      </w:r>
    </w:p>
    <w:p w14:paraId="56E92FD6">
      <w:pPr>
        <w:pStyle w:val="78"/>
        <w:spacing w:before="120" w:after="120"/>
        <w:rPr>
          <w:rFonts w:ascii="Times New Roman"/>
        </w:rPr>
      </w:pPr>
      <w:r>
        <w:rPr>
          <w:rFonts w:hint="eastAsia" w:ascii="Times New Roman"/>
        </w:rPr>
        <w:t>重复性</w:t>
      </w:r>
    </w:p>
    <w:p w14:paraId="6F5CB001">
      <w:pPr>
        <w:pStyle w:val="56"/>
        <w:ind w:firstLine="420"/>
        <w:rPr>
          <w:rFonts w:ascii="Times New Roman"/>
        </w:rPr>
      </w:pPr>
      <w:r>
        <w:rPr>
          <w:rFonts w:hint="eastAsia" w:ascii="Times New Roman"/>
        </w:rPr>
        <w:t>在重复性条件下获得的两次独立测定结果的绝对差值不得超过算术平均值的</w:t>
      </w:r>
      <w:r>
        <w:rPr>
          <w:rFonts w:hint="eastAsia" w:hAnsi="宋体"/>
        </w:rPr>
        <w:t>10%。</w:t>
      </w:r>
    </w:p>
    <w:p w14:paraId="0E825614">
      <w:pPr>
        <w:pStyle w:val="56"/>
        <w:ind w:firstLine="420"/>
        <w:rPr>
          <w:rFonts w:ascii="Times New Roman"/>
        </w:rPr>
      </w:pPr>
    </w:p>
    <w:p w14:paraId="53888F6F">
      <w:pPr>
        <w:pStyle w:val="56"/>
        <w:ind w:firstLine="420"/>
        <w:rPr>
          <w:rFonts w:ascii="Times New Roman"/>
        </w:rPr>
      </w:pPr>
    </w:p>
    <w:bookmarkEnd w:id="54"/>
    <w:p w14:paraId="7A3A6507">
      <w:pPr>
        <w:pStyle w:val="56"/>
        <w:ind w:firstLine="0" w:firstLineChars="0"/>
        <w:jc w:val="center"/>
        <w:rPr>
          <w:rFonts w:ascii="Times New Roman"/>
        </w:rPr>
      </w:pPr>
      <w:bookmarkStart w:id="61" w:name="BookMark8"/>
      <w:r>
        <w:rPr>
          <w:rFonts w:ascii="Times New Roman"/>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1485900" cy="317500"/>
                    </a:xfrm>
                    <a:prstGeom prst="rect">
                      <a:avLst/>
                    </a:prstGeom>
                  </pic:spPr>
                </pic:pic>
              </a:graphicData>
            </a:graphic>
          </wp:inline>
        </w:drawing>
      </w:r>
      <w:bookmarkEnd w:id="61"/>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2A6D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E85D0">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F13F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18C08">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8555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7EA6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9F74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4FFE9">
    <w:pPr>
      <w:pStyle w:val="61"/>
    </w:pPr>
    <w:r>
      <w:fldChar w:fldCharType="begin"/>
    </w:r>
    <w:r>
      <w:instrText xml:space="preserve"> STYLEREF  标准文件_文件编号  \* MERGEFORMAT </w:instrText>
    </w:r>
    <w:r>
      <w:fldChar w:fldCharType="separate"/>
    </w:r>
    <w:r>
      <w:t>T/GXAS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B5A84">
    <w:pPr>
      <w:pStyle w:val="18"/>
      <w:jc w:val="right"/>
    </w:pPr>
    <w:r>
      <w:fldChar w:fldCharType="begin"/>
    </w:r>
    <w:r>
      <w:instrText xml:space="preserve"> STYLEREF  标准文件_文件编号  \* MERGEFORMAT </w:instrText>
    </w:r>
    <w:r>
      <w:fldChar w:fldCharType="separate"/>
    </w:r>
    <w:r>
      <w:t>T/GXAS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rPr>
        <w:rFonts w:ascii="黑体" w:hAnsi="黑体" w:eastAsia="黑体"/>
      </w:r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rPr>
        <w:rFonts w:ascii="黑体" w:hAnsi="黑体" w:eastAsia="黑体"/>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284" w:firstLine="0"/>
      </w:pPr>
      <w:rPr>
        <w:rFonts w:hint="eastAsia" w:ascii="黑体" w:eastAsia="黑体"/>
        <w:b w:val="0"/>
        <w:i w:val="0"/>
        <w:sz w:val="21"/>
      </w:rPr>
    </w:lvl>
    <w:lvl w:ilvl="2" w:tentative="0">
      <w:start w:val="1"/>
      <w:numFmt w:val="decimal"/>
      <w:pStyle w:val="79"/>
      <w:suff w:val="nothing"/>
      <w:lvlText w:val="%1.%2.%3　"/>
      <w:lvlJc w:val="left"/>
      <w:pPr>
        <w:ind w:left="284" w:firstLine="0"/>
      </w:pPr>
      <w:rPr>
        <w:rFonts w:hint="eastAsia" w:ascii="黑体" w:eastAsia="黑体"/>
        <w:b w:val="0"/>
        <w:i w:val="0"/>
        <w:sz w:val="21"/>
      </w:rPr>
    </w:lvl>
    <w:lvl w:ilvl="3" w:tentative="0">
      <w:start w:val="1"/>
      <w:numFmt w:val="decimal"/>
      <w:pStyle w:val="81"/>
      <w:suff w:val="nothing"/>
      <w:lvlText w:val="%1.%2.%3.%4　"/>
      <w:lvlJc w:val="left"/>
      <w:pPr>
        <w:ind w:left="2268"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1843"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C7661"/>
    <w:rsid w:val="0000040A"/>
    <w:rsid w:val="00000A94"/>
    <w:rsid w:val="00001871"/>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A9B"/>
    <w:rsid w:val="0004716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67C"/>
    <w:rsid w:val="000676AC"/>
    <w:rsid w:val="00067F1E"/>
    <w:rsid w:val="00071CC0"/>
    <w:rsid w:val="00071CFC"/>
    <w:rsid w:val="00073C8C"/>
    <w:rsid w:val="00077094"/>
    <w:rsid w:val="00077B64"/>
    <w:rsid w:val="00077E9E"/>
    <w:rsid w:val="00080A1C"/>
    <w:rsid w:val="00082317"/>
    <w:rsid w:val="000834F1"/>
    <w:rsid w:val="00083D2C"/>
    <w:rsid w:val="00084002"/>
    <w:rsid w:val="00084A4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985"/>
    <w:rsid w:val="000E4C9E"/>
    <w:rsid w:val="000E5DD0"/>
    <w:rsid w:val="000E6FD7"/>
    <w:rsid w:val="000E7144"/>
    <w:rsid w:val="000E77F2"/>
    <w:rsid w:val="000F02B6"/>
    <w:rsid w:val="000F06E1"/>
    <w:rsid w:val="000F0E3C"/>
    <w:rsid w:val="000F19D5"/>
    <w:rsid w:val="000F4050"/>
    <w:rsid w:val="000F4AEA"/>
    <w:rsid w:val="000F67E9"/>
    <w:rsid w:val="000F78B4"/>
    <w:rsid w:val="00101703"/>
    <w:rsid w:val="00104926"/>
    <w:rsid w:val="00106502"/>
    <w:rsid w:val="00113B1E"/>
    <w:rsid w:val="0011711C"/>
    <w:rsid w:val="00117701"/>
    <w:rsid w:val="0012471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4A2"/>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809"/>
    <w:rsid w:val="00176DFD"/>
    <w:rsid w:val="001852C9"/>
    <w:rsid w:val="00187A0B"/>
    <w:rsid w:val="00190087"/>
    <w:rsid w:val="001913C4"/>
    <w:rsid w:val="0019348F"/>
    <w:rsid w:val="00193A07"/>
    <w:rsid w:val="00194C95"/>
    <w:rsid w:val="00195C34"/>
    <w:rsid w:val="001969F3"/>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519"/>
    <w:rsid w:val="001D7E78"/>
    <w:rsid w:val="001E1B6A"/>
    <w:rsid w:val="001E2484"/>
    <w:rsid w:val="001E3CC4"/>
    <w:rsid w:val="001E4882"/>
    <w:rsid w:val="001E73AB"/>
    <w:rsid w:val="001E79AC"/>
    <w:rsid w:val="001F092D"/>
    <w:rsid w:val="001F143A"/>
    <w:rsid w:val="001F1605"/>
    <w:rsid w:val="001F2508"/>
    <w:rsid w:val="001F4816"/>
    <w:rsid w:val="001F5BC9"/>
    <w:rsid w:val="001F69B4"/>
    <w:rsid w:val="001F7745"/>
    <w:rsid w:val="001F77C7"/>
    <w:rsid w:val="00200183"/>
    <w:rsid w:val="00200333"/>
    <w:rsid w:val="0020107D"/>
    <w:rsid w:val="00202AA4"/>
    <w:rsid w:val="002031F7"/>
    <w:rsid w:val="002040E6"/>
    <w:rsid w:val="0020527B"/>
    <w:rsid w:val="00205D75"/>
    <w:rsid w:val="00205F2C"/>
    <w:rsid w:val="00210B15"/>
    <w:rsid w:val="002142EA"/>
    <w:rsid w:val="00215ADD"/>
    <w:rsid w:val="002204BB"/>
    <w:rsid w:val="00221B79"/>
    <w:rsid w:val="00221C6B"/>
    <w:rsid w:val="002253A1"/>
    <w:rsid w:val="00225CF8"/>
    <w:rsid w:val="0022794E"/>
    <w:rsid w:val="00227F7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07E"/>
    <w:rsid w:val="00296193"/>
    <w:rsid w:val="00296C66"/>
    <w:rsid w:val="00296EBE"/>
    <w:rsid w:val="002974E3"/>
    <w:rsid w:val="002A084B"/>
    <w:rsid w:val="002A1260"/>
    <w:rsid w:val="002A1589"/>
    <w:rsid w:val="002A1608"/>
    <w:rsid w:val="002A1E1E"/>
    <w:rsid w:val="002A25DC"/>
    <w:rsid w:val="002A3AAB"/>
    <w:rsid w:val="002A4CEA"/>
    <w:rsid w:val="002A5977"/>
    <w:rsid w:val="002A5A13"/>
    <w:rsid w:val="002A757F"/>
    <w:rsid w:val="002A7F1E"/>
    <w:rsid w:val="002A7F44"/>
    <w:rsid w:val="002B0B2F"/>
    <w:rsid w:val="002B0C40"/>
    <w:rsid w:val="002B1966"/>
    <w:rsid w:val="002B4508"/>
    <w:rsid w:val="002B5779"/>
    <w:rsid w:val="002B7332"/>
    <w:rsid w:val="002B7F51"/>
    <w:rsid w:val="002C09E7"/>
    <w:rsid w:val="002C1E06"/>
    <w:rsid w:val="002C216D"/>
    <w:rsid w:val="002C3F07"/>
    <w:rsid w:val="002C5278"/>
    <w:rsid w:val="002C7EBB"/>
    <w:rsid w:val="002D06C1"/>
    <w:rsid w:val="002D42B5"/>
    <w:rsid w:val="002D4F1A"/>
    <w:rsid w:val="002D6EC6"/>
    <w:rsid w:val="002D79AC"/>
    <w:rsid w:val="002E039D"/>
    <w:rsid w:val="002E366D"/>
    <w:rsid w:val="002E48ED"/>
    <w:rsid w:val="002E4D5A"/>
    <w:rsid w:val="002E6326"/>
    <w:rsid w:val="002F30E0"/>
    <w:rsid w:val="002F35E4"/>
    <w:rsid w:val="002F3730"/>
    <w:rsid w:val="002F38E1"/>
    <w:rsid w:val="002F54B5"/>
    <w:rsid w:val="002F7AF6"/>
    <w:rsid w:val="00300E63"/>
    <w:rsid w:val="00302F5F"/>
    <w:rsid w:val="0030441D"/>
    <w:rsid w:val="00306063"/>
    <w:rsid w:val="00313B85"/>
    <w:rsid w:val="00317988"/>
    <w:rsid w:val="003221B4"/>
    <w:rsid w:val="0032258D"/>
    <w:rsid w:val="00322E62"/>
    <w:rsid w:val="00324D13"/>
    <w:rsid w:val="00324EDD"/>
    <w:rsid w:val="00331684"/>
    <w:rsid w:val="003331E4"/>
    <w:rsid w:val="00336C64"/>
    <w:rsid w:val="00337162"/>
    <w:rsid w:val="00337D3A"/>
    <w:rsid w:val="0034194F"/>
    <w:rsid w:val="00344605"/>
    <w:rsid w:val="003474AA"/>
    <w:rsid w:val="00350D1D"/>
    <w:rsid w:val="00350F8D"/>
    <w:rsid w:val="00352C83"/>
    <w:rsid w:val="00352F1A"/>
    <w:rsid w:val="00355E31"/>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3E4"/>
    <w:rsid w:val="00386BA2"/>
    <w:rsid w:val="003872FC"/>
    <w:rsid w:val="00387ADC"/>
    <w:rsid w:val="00390020"/>
    <w:rsid w:val="003903D6"/>
    <w:rsid w:val="00390EE6"/>
    <w:rsid w:val="0039118F"/>
    <w:rsid w:val="00392AD7"/>
    <w:rsid w:val="003938D9"/>
    <w:rsid w:val="00394376"/>
    <w:rsid w:val="003943FF"/>
    <w:rsid w:val="003974EB"/>
    <w:rsid w:val="0039766C"/>
    <w:rsid w:val="00397CC5"/>
    <w:rsid w:val="003A11D1"/>
    <w:rsid w:val="003A1582"/>
    <w:rsid w:val="003A3D9C"/>
    <w:rsid w:val="003A4077"/>
    <w:rsid w:val="003A4AA7"/>
    <w:rsid w:val="003B09AD"/>
    <w:rsid w:val="003B1F18"/>
    <w:rsid w:val="003B5BF0"/>
    <w:rsid w:val="003B60BF"/>
    <w:rsid w:val="003B6839"/>
    <w:rsid w:val="003B6BE3"/>
    <w:rsid w:val="003C010C"/>
    <w:rsid w:val="003C0A6C"/>
    <w:rsid w:val="003C14F8"/>
    <w:rsid w:val="003C5A43"/>
    <w:rsid w:val="003D0519"/>
    <w:rsid w:val="003D0FF6"/>
    <w:rsid w:val="003D262C"/>
    <w:rsid w:val="003D4472"/>
    <w:rsid w:val="003D6D61"/>
    <w:rsid w:val="003E019F"/>
    <w:rsid w:val="003E091D"/>
    <w:rsid w:val="003E1C53"/>
    <w:rsid w:val="003E2A69"/>
    <w:rsid w:val="003E2D49"/>
    <w:rsid w:val="003E2FD4"/>
    <w:rsid w:val="003E49EE"/>
    <w:rsid w:val="003E49F6"/>
    <w:rsid w:val="003E660F"/>
    <w:rsid w:val="003F0841"/>
    <w:rsid w:val="003F23D3"/>
    <w:rsid w:val="003F3F08"/>
    <w:rsid w:val="003F49F1"/>
    <w:rsid w:val="003F6272"/>
    <w:rsid w:val="00400E72"/>
    <w:rsid w:val="00401400"/>
    <w:rsid w:val="00401E89"/>
    <w:rsid w:val="00404869"/>
    <w:rsid w:val="00405884"/>
    <w:rsid w:val="00407D39"/>
    <w:rsid w:val="00410ADF"/>
    <w:rsid w:val="0041477A"/>
    <w:rsid w:val="004167A3"/>
    <w:rsid w:val="004213B7"/>
    <w:rsid w:val="004312F4"/>
    <w:rsid w:val="00432DAA"/>
    <w:rsid w:val="00432DDD"/>
    <w:rsid w:val="00434305"/>
    <w:rsid w:val="00435DF7"/>
    <w:rsid w:val="0043741A"/>
    <w:rsid w:val="004400FC"/>
    <w:rsid w:val="0044083F"/>
    <w:rsid w:val="00441AE7"/>
    <w:rsid w:val="00445574"/>
    <w:rsid w:val="004467FB"/>
    <w:rsid w:val="00452D6B"/>
    <w:rsid w:val="00454484"/>
    <w:rsid w:val="0045517B"/>
    <w:rsid w:val="00463B77"/>
    <w:rsid w:val="00463C7B"/>
    <w:rsid w:val="004644A6"/>
    <w:rsid w:val="004659BD"/>
    <w:rsid w:val="00467821"/>
    <w:rsid w:val="00470775"/>
    <w:rsid w:val="00474474"/>
    <w:rsid w:val="004746B1"/>
    <w:rsid w:val="0047583F"/>
    <w:rsid w:val="00475DE8"/>
    <w:rsid w:val="004763B3"/>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058"/>
    <w:rsid w:val="004B3AA8"/>
    <w:rsid w:val="004B3E93"/>
    <w:rsid w:val="004B3EC1"/>
    <w:rsid w:val="004C1FBC"/>
    <w:rsid w:val="004C25A2"/>
    <w:rsid w:val="004C3F1D"/>
    <w:rsid w:val="004C458D"/>
    <w:rsid w:val="004C7556"/>
    <w:rsid w:val="004C7E8B"/>
    <w:rsid w:val="004C7E9D"/>
    <w:rsid w:val="004C7F67"/>
    <w:rsid w:val="004D0648"/>
    <w:rsid w:val="004D076D"/>
    <w:rsid w:val="004D0EF1"/>
    <w:rsid w:val="004D2253"/>
    <w:rsid w:val="004D4406"/>
    <w:rsid w:val="004D6667"/>
    <w:rsid w:val="004D7C42"/>
    <w:rsid w:val="004E0465"/>
    <w:rsid w:val="004E127B"/>
    <w:rsid w:val="004E1C0A"/>
    <w:rsid w:val="004E30C5"/>
    <w:rsid w:val="004E4AA5"/>
    <w:rsid w:val="004E4AEE"/>
    <w:rsid w:val="004E59E3"/>
    <w:rsid w:val="004E67C0"/>
    <w:rsid w:val="004F391A"/>
    <w:rsid w:val="004F3CFB"/>
    <w:rsid w:val="004F6456"/>
    <w:rsid w:val="004F67CA"/>
    <w:rsid w:val="004F696E"/>
    <w:rsid w:val="004F6C71"/>
    <w:rsid w:val="00501139"/>
    <w:rsid w:val="0050363E"/>
    <w:rsid w:val="005039BC"/>
    <w:rsid w:val="005043BB"/>
    <w:rsid w:val="00504A3D"/>
    <w:rsid w:val="00505767"/>
    <w:rsid w:val="00506A15"/>
    <w:rsid w:val="005073F0"/>
    <w:rsid w:val="00510A7B"/>
    <w:rsid w:val="00512F6E"/>
    <w:rsid w:val="00513038"/>
    <w:rsid w:val="00514174"/>
    <w:rsid w:val="00516088"/>
    <w:rsid w:val="00516B0B"/>
    <w:rsid w:val="005220EC"/>
    <w:rsid w:val="00523F95"/>
    <w:rsid w:val="00524D65"/>
    <w:rsid w:val="00525B16"/>
    <w:rsid w:val="005313E1"/>
    <w:rsid w:val="00533D04"/>
    <w:rsid w:val="00534804"/>
    <w:rsid w:val="00534BDF"/>
    <w:rsid w:val="005354EA"/>
    <w:rsid w:val="0053585F"/>
    <w:rsid w:val="00535EC4"/>
    <w:rsid w:val="00535ED9"/>
    <w:rsid w:val="0053692B"/>
    <w:rsid w:val="00541853"/>
    <w:rsid w:val="0054210B"/>
    <w:rsid w:val="00543BDA"/>
    <w:rsid w:val="005441CC"/>
    <w:rsid w:val="005479DA"/>
    <w:rsid w:val="00547BCC"/>
    <w:rsid w:val="0055013B"/>
    <w:rsid w:val="00551F6F"/>
    <w:rsid w:val="00553312"/>
    <w:rsid w:val="00554471"/>
    <w:rsid w:val="00555044"/>
    <w:rsid w:val="00561475"/>
    <w:rsid w:val="00562308"/>
    <w:rsid w:val="0056487B"/>
    <w:rsid w:val="00564FB9"/>
    <w:rsid w:val="00573D9E"/>
    <w:rsid w:val="005801E3"/>
    <w:rsid w:val="00581802"/>
    <w:rsid w:val="005836A8"/>
    <w:rsid w:val="0058409C"/>
    <w:rsid w:val="00584262"/>
    <w:rsid w:val="00584689"/>
    <w:rsid w:val="00586630"/>
    <w:rsid w:val="00587ADD"/>
    <w:rsid w:val="005905BA"/>
    <w:rsid w:val="00593A49"/>
    <w:rsid w:val="00596160"/>
    <w:rsid w:val="005966E2"/>
    <w:rsid w:val="00597007"/>
    <w:rsid w:val="005A0966"/>
    <w:rsid w:val="005A11B7"/>
    <w:rsid w:val="005A260B"/>
    <w:rsid w:val="005A304F"/>
    <w:rsid w:val="005A4A1B"/>
    <w:rsid w:val="005A6F1F"/>
    <w:rsid w:val="005A7830"/>
    <w:rsid w:val="005A7FCE"/>
    <w:rsid w:val="005B0F3F"/>
    <w:rsid w:val="005B191C"/>
    <w:rsid w:val="005B39B0"/>
    <w:rsid w:val="005B4903"/>
    <w:rsid w:val="005B5079"/>
    <w:rsid w:val="005B51CE"/>
    <w:rsid w:val="005B5885"/>
    <w:rsid w:val="005B5CD7"/>
    <w:rsid w:val="005B6AFE"/>
    <w:rsid w:val="005B6CF6"/>
    <w:rsid w:val="005B7422"/>
    <w:rsid w:val="005C11CD"/>
    <w:rsid w:val="005C29B8"/>
    <w:rsid w:val="005C5F21"/>
    <w:rsid w:val="005C7156"/>
    <w:rsid w:val="005D0C75"/>
    <w:rsid w:val="005D4171"/>
    <w:rsid w:val="005D6A95"/>
    <w:rsid w:val="005D6B2C"/>
    <w:rsid w:val="005D6D9C"/>
    <w:rsid w:val="005E1B5C"/>
    <w:rsid w:val="005E2335"/>
    <w:rsid w:val="005E34CA"/>
    <w:rsid w:val="005E3C18"/>
    <w:rsid w:val="005E4250"/>
    <w:rsid w:val="005E65D2"/>
    <w:rsid w:val="005E6812"/>
    <w:rsid w:val="005E7881"/>
    <w:rsid w:val="005E78E0"/>
    <w:rsid w:val="005F0D9C"/>
    <w:rsid w:val="005F284E"/>
    <w:rsid w:val="005F64E7"/>
    <w:rsid w:val="006015CE"/>
    <w:rsid w:val="00601B3C"/>
    <w:rsid w:val="00604784"/>
    <w:rsid w:val="00604E53"/>
    <w:rsid w:val="00606419"/>
    <w:rsid w:val="00607A3E"/>
    <w:rsid w:val="00607D29"/>
    <w:rsid w:val="00612952"/>
    <w:rsid w:val="00614CC1"/>
    <w:rsid w:val="00615A9D"/>
    <w:rsid w:val="00617387"/>
    <w:rsid w:val="006205D6"/>
    <w:rsid w:val="006226EB"/>
    <w:rsid w:val="00622CC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E50"/>
    <w:rsid w:val="00652AB2"/>
    <w:rsid w:val="00653FED"/>
    <w:rsid w:val="00654EC0"/>
    <w:rsid w:val="0065525B"/>
    <w:rsid w:val="00655D4F"/>
    <w:rsid w:val="00656D29"/>
    <w:rsid w:val="00662F9E"/>
    <w:rsid w:val="006640E5"/>
    <w:rsid w:val="006646F1"/>
    <w:rsid w:val="00664929"/>
    <w:rsid w:val="00664F62"/>
    <w:rsid w:val="006655E1"/>
    <w:rsid w:val="0066779C"/>
    <w:rsid w:val="00671D73"/>
    <w:rsid w:val="00672060"/>
    <w:rsid w:val="00672BFD"/>
    <w:rsid w:val="006770F4"/>
    <w:rsid w:val="00677A84"/>
    <w:rsid w:val="00680003"/>
    <w:rsid w:val="0068026D"/>
    <w:rsid w:val="00680A27"/>
    <w:rsid w:val="006816A4"/>
    <w:rsid w:val="006819B8"/>
    <w:rsid w:val="006840A6"/>
    <w:rsid w:val="006850CD"/>
    <w:rsid w:val="00685AAB"/>
    <w:rsid w:val="00693962"/>
    <w:rsid w:val="006A07AA"/>
    <w:rsid w:val="006A25E5"/>
    <w:rsid w:val="006A2B46"/>
    <w:rsid w:val="006A336D"/>
    <w:rsid w:val="006A37B9"/>
    <w:rsid w:val="006A3B0A"/>
    <w:rsid w:val="006A581C"/>
    <w:rsid w:val="006A6BF5"/>
    <w:rsid w:val="006B2672"/>
    <w:rsid w:val="006B54BF"/>
    <w:rsid w:val="006B5F44"/>
    <w:rsid w:val="006B5F90"/>
    <w:rsid w:val="006B62E4"/>
    <w:rsid w:val="006C1BBA"/>
    <w:rsid w:val="006C2079"/>
    <w:rsid w:val="006C325B"/>
    <w:rsid w:val="006C5A62"/>
    <w:rsid w:val="006C5D68"/>
    <w:rsid w:val="006C6976"/>
    <w:rsid w:val="006C6DD0"/>
    <w:rsid w:val="006D04EA"/>
    <w:rsid w:val="006D16C4"/>
    <w:rsid w:val="006D31C0"/>
    <w:rsid w:val="006D3E96"/>
    <w:rsid w:val="006D4515"/>
    <w:rsid w:val="006D4BB1"/>
    <w:rsid w:val="006D6593"/>
    <w:rsid w:val="006D66CA"/>
    <w:rsid w:val="006E4E76"/>
    <w:rsid w:val="006F03A8"/>
    <w:rsid w:val="006F2ACA"/>
    <w:rsid w:val="006F2ADC"/>
    <w:rsid w:val="006F2BFE"/>
    <w:rsid w:val="006F31E9"/>
    <w:rsid w:val="006F6284"/>
    <w:rsid w:val="007002C5"/>
    <w:rsid w:val="00704387"/>
    <w:rsid w:val="00707669"/>
    <w:rsid w:val="00710EA1"/>
    <w:rsid w:val="00711CBA"/>
    <w:rsid w:val="00711FB5"/>
    <w:rsid w:val="00712A01"/>
    <w:rsid w:val="00714F58"/>
    <w:rsid w:val="00722FBF"/>
    <w:rsid w:val="00722FC2"/>
    <w:rsid w:val="00724AA8"/>
    <w:rsid w:val="00724E1B"/>
    <w:rsid w:val="00725949"/>
    <w:rsid w:val="00727FA2"/>
    <w:rsid w:val="007322D9"/>
    <w:rsid w:val="00732BC0"/>
    <w:rsid w:val="0073315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836"/>
    <w:rsid w:val="00767C61"/>
    <w:rsid w:val="0077008A"/>
    <w:rsid w:val="00773C1F"/>
    <w:rsid w:val="00774DA4"/>
    <w:rsid w:val="00776599"/>
    <w:rsid w:val="0078114B"/>
    <w:rsid w:val="00781DD2"/>
    <w:rsid w:val="00783ECF"/>
    <w:rsid w:val="0078413A"/>
    <w:rsid w:val="0078467E"/>
    <w:rsid w:val="00785FA7"/>
    <w:rsid w:val="007959E8"/>
    <w:rsid w:val="00795E9C"/>
    <w:rsid w:val="007A0521"/>
    <w:rsid w:val="007A2E12"/>
    <w:rsid w:val="007A3475"/>
    <w:rsid w:val="007A41C8"/>
    <w:rsid w:val="007A41F8"/>
    <w:rsid w:val="007A54CE"/>
    <w:rsid w:val="007A564D"/>
    <w:rsid w:val="007A5D3A"/>
    <w:rsid w:val="007A6FD9"/>
    <w:rsid w:val="007A75FA"/>
    <w:rsid w:val="007A7FFA"/>
    <w:rsid w:val="007B04EB"/>
    <w:rsid w:val="007B0D4F"/>
    <w:rsid w:val="007B39CD"/>
    <w:rsid w:val="007B4E51"/>
    <w:rsid w:val="007B5A3D"/>
    <w:rsid w:val="007B5B95"/>
    <w:rsid w:val="007B6032"/>
    <w:rsid w:val="007B68EA"/>
    <w:rsid w:val="007B7453"/>
    <w:rsid w:val="007C2D89"/>
    <w:rsid w:val="007C4593"/>
    <w:rsid w:val="007C5309"/>
    <w:rsid w:val="007C6069"/>
    <w:rsid w:val="007C63D5"/>
    <w:rsid w:val="007C7EA8"/>
    <w:rsid w:val="007D06C4"/>
    <w:rsid w:val="007D1352"/>
    <w:rsid w:val="007D2508"/>
    <w:rsid w:val="007D346A"/>
    <w:rsid w:val="007D54EE"/>
    <w:rsid w:val="007D6518"/>
    <w:rsid w:val="007D76BD"/>
    <w:rsid w:val="007E0BF1"/>
    <w:rsid w:val="007E2362"/>
    <w:rsid w:val="007E3434"/>
    <w:rsid w:val="007F0ED8"/>
    <w:rsid w:val="007F0F63"/>
    <w:rsid w:val="007F5C76"/>
    <w:rsid w:val="007F75CE"/>
    <w:rsid w:val="007F7B45"/>
    <w:rsid w:val="008013A4"/>
    <w:rsid w:val="008027CE"/>
    <w:rsid w:val="00802F42"/>
    <w:rsid w:val="00804383"/>
    <w:rsid w:val="00804BB7"/>
    <w:rsid w:val="00804D41"/>
    <w:rsid w:val="00810106"/>
    <w:rsid w:val="00810257"/>
    <w:rsid w:val="008104F5"/>
    <w:rsid w:val="00811072"/>
    <w:rsid w:val="00811369"/>
    <w:rsid w:val="00815419"/>
    <w:rsid w:val="008163C8"/>
    <w:rsid w:val="008164A1"/>
    <w:rsid w:val="00817325"/>
    <w:rsid w:val="008209E6"/>
    <w:rsid w:val="0082191D"/>
    <w:rsid w:val="00821D19"/>
    <w:rsid w:val="00823303"/>
    <w:rsid w:val="008233B2"/>
    <w:rsid w:val="00823A9F"/>
    <w:rsid w:val="00823C85"/>
    <w:rsid w:val="00825138"/>
    <w:rsid w:val="008269DD"/>
    <w:rsid w:val="00830621"/>
    <w:rsid w:val="0083348C"/>
    <w:rsid w:val="00835229"/>
    <w:rsid w:val="008373D3"/>
    <w:rsid w:val="00840617"/>
    <w:rsid w:val="00840F84"/>
    <w:rsid w:val="00842A47"/>
    <w:rsid w:val="00843C13"/>
    <w:rsid w:val="00843DEF"/>
    <w:rsid w:val="008454F8"/>
    <w:rsid w:val="0085173A"/>
    <w:rsid w:val="00854A84"/>
    <w:rsid w:val="008603CE"/>
    <w:rsid w:val="008620FC"/>
    <w:rsid w:val="008627A5"/>
    <w:rsid w:val="00863E05"/>
    <w:rsid w:val="00865ACA"/>
    <w:rsid w:val="00865D28"/>
    <w:rsid w:val="00865F85"/>
    <w:rsid w:val="00866E52"/>
    <w:rsid w:val="00867C10"/>
    <w:rsid w:val="00870439"/>
    <w:rsid w:val="00870DA1"/>
    <w:rsid w:val="008746D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0F2E"/>
    <w:rsid w:val="008B166D"/>
    <w:rsid w:val="008B17F4"/>
    <w:rsid w:val="008B3615"/>
    <w:rsid w:val="008B4AC4"/>
    <w:rsid w:val="008B50C8"/>
    <w:rsid w:val="008B5281"/>
    <w:rsid w:val="008B7E05"/>
    <w:rsid w:val="008C1797"/>
    <w:rsid w:val="008C219C"/>
    <w:rsid w:val="008C475E"/>
    <w:rsid w:val="008C5D6A"/>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134"/>
    <w:rsid w:val="008F788F"/>
    <w:rsid w:val="008F7EA2"/>
    <w:rsid w:val="00902722"/>
    <w:rsid w:val="009027BC"/>
    <w:rsid w:val="009062E6"/>
    <w:rsid w:val="00906DF5"/>
    <w:rsid w:val="00911BE5"/>
    <w:rsid w:val="00913CA9"/>
    <w:rsid w:val="009145AE"/>
    <w:rsid w:val="009146CE"/>
    <w:rsid w:val="00914CA7"/>
    <w:rsid w:val="00915C3E"/>
    <w:rsid w:val="00915EEA"/>
    <w:rsid w:val="009161A8"/>
    <w:rsid w:val="00920740"/>
    <w:rsid w:val="009245AE"/>
    <w:rsid w:val="009245F5"/>
    <w:rsid w:val="0092494E"/>
    <w:rsid w:val="009249EC"/>
    <w:rsid w:val="009273B3"/>
    <w:rsid w:val="009275AE"/>
    <w:rsid w:val="009305B5"/>
    <w:rsid w:val="009378DD"/>
    <w:rsid w:val="009429D5"/>
    <w:rsid w:val="00942BF1"/>
    <w:rsid w:val="00945180"/>
    <w:rsid w:val="00945428"/>
    <w:rsid w:val="0094607B"/>
    <w:rsid w:val="00946DA8"/>
    <w:rsid w:val="00946F38"/>
    <w:rsid w:val="00952D55"/>
    <w:rsid w:val="00953501"/>
    <w:rsid w:val="00953604"/>
    <w:rsid w:val="0095496B"/>
    <w:rsid w:val="00955E0B"/>
    <w:rsid w:val="00960333"/>
    <w:rsid w:val="00960F1E"/>
    <w:rsid w:val="009610DC"/>
    <w:rsid w:val="00961490"/>
    <w:rsid w:val="0096381A"/>
    <w:rsid w:val="00965E04"/>
    <w:rsid w:val="009674AD"/>
    <w:rsid w:val="009708BF"/>
    <w:rsid w:val="00970CDC"/>
    <w:rsid w:val="00975727"/>
    <w:rsid w:val="00977010"/>
    <w:rsid w:val="00977D02"/>
    <w:rsid w:val="00977FF9"/>
    <w:rsid w:val="009809BB"/>
    <w:rsid w:val="0098364B"/>
    <w:rsid w:val="009908A3"/>
    <w:rsid w:val="009911AF"/>
    <w:rsid w:val="00991875"/>
    <w:rsid w:val="00991F92"/>
    <w:rsid w:val="00991FA4"/>
    <w:rsid w:val="00992985"/>
    <w:rsid w:val="00993889"/>
    <w:rsid w:val="0099441C"/>
    <w:rsid w:val="0099551B"/>
    <w:rsid w:val="00996BD2"/>
    <w:rsid w:val="00997BF1"/>
    <w:rsid w:val="009A089C"/>
    <w:rsid w:val="009A118E"/>
    <w:rsid w:val="009A21CD"/>
    <w:rsid w:val="009A278C"/>
    <w:rsid w:val="009A2BC2"/>
    <w:rsid w:val="009A3F4D"/>
    <w:rsid w:val="009A42C1"/>
    <w:rsid w:val="009A5429"/>
    <w:rsid w:val="009A72AD"/>
    <w:rsid w:val="009B09E0"/>
    <w:rsid w:val="009B0BC5"/>
    <w:rsid w:val="009B1247"/>
    <w:rsid w:val="009B6029"/>
    <w:rsid w:val="009B6971"/>
    <w:rsid w:val="009C27F1"/>
    <w:rsid w:val="009C3152"/>
    <w:rsid w:val="009C3257"/>
    <w:rsid w:val="009C4CFA"/>
    <w:rsid w:val="009C4ED4"/>
    <w:rsid w:val="009C5070"/>
    <w:rsid w:val="009D112C"/>
    <w:rsid w:val="009D1385"/>
    <w:rsid w:val="009D47FA"/>
    <w:rsid w:val="009D4C5B"/>
    <w:rsid w:val="009D50D2"/>
    <w:rsid w:val="009D6BCA"/>
    <w:rsid w:val="009E0F62"/>
    <w:rsid w:val="009E225D"/>
    <w:rsid w:val="009E4A58"/>
    <w:rsid w:val="009E5A2D"/>
    <w:rsid w:val="009E5AB2"/>
    <w:rsid w:val="009E6219"/>
    <w:rsid w:val="009F03B3"/>
    <w:rsid w:val="00A0096C"/>
    <w:rsid w:val="00A01757"/>
    <w:rsid w:val="00A026A1"/>
    <w:rsid w:val="00A028C0"/>
    <w:rsid w:val="00A02BAE"/>
    <w:rsid w:val="00A055F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0AC8"/>
    <w:rsid w:val="00A41C79"/>
    <w:rsid w:val="00A41CB5"/>
    <w:rsid w:val="00A42CDF"/>
    <w:rsid w:val="00A4452E"/>
    <w:rsid w:val="00A4472C"/>
    <w:rsid w:val="00A44E69"/>
    <w:rsid w:val="00A4661E"/>
    <w:rsid w:val="00A55BD6"/>
    <w:rsid w:val="00A55D50"/>
    <w:rsid w:val="00A57142"/>
    <w:rsid w:val="00A648CD"/>
    <w:rsid w:val="00A6537A"/>
    <w:rsid w:val="00A662EF"/>
    <w:rsid w:val="00A66CD5"/>
    <w:rsid w:val="00A67866"/>
    <w:rsid w:val="00A70B07"/>
    <w:rsid w:val="00A723F8"/>
    <w:rsid w:val="00A73FF5"/>
    <w:rsid w:val="00A77CCB"/>
    <w:rsid w:val="00A83D8D"/>
    <w:rsid w:val="00A8446B"/>
    <w:rsid w:val="00A8473F"/>
    <w:rsid w:val="00A862D6"/>
    <w:rsid w:val="00A8715E"/>
    <w:rsid w:val="00A9295B"/>
    <w:rsid w:val="00A92D8B"/>
    <w:rsid w:val="00A93B09"/>
    <w:rsid w:val="00A952D7"/>
    <w:rsid w:val="00A963F7"/>
    <w:rsid w:val="00A96AD8"/>
    <w:rsid w:val="00AA052C"/>
    <w:rsid w:val="00AA1E45"/>
    <w:rsid w:val="00AA4286"/>
    <w:rsid w:val="00AA456B"/>
    <w:rsid w:val="00AA57F5"/>
    <w:rsid w:val="00AA672E"/>
    <w:rsid w:val="00AA6EC9"/>
    <w:rsid w:val="00AB6309"/>
    <w:rsid w:val="00AB631A"/>
    <w:rsid w:val="00AB6C5F"/>
    <w:rsid w:val="00AB7129"/>
    <w:rsid w:val="00AB75F0"/>
    <w:rsid w:val="00AC27A6"/>
    <w:rsid w:val="00AC30F7"/>
    <w:rsid w:val="00AC3A5A"/>
    <w:rsid w:val="00AC4D95"/>
    <w:rsid w:val="00AC5DF4"/>
    <w:rsid w:val="00AD0AEF"/>
    <w:rsid w:val="00AD11B7"/>
    <w:rsid w:val="00AD1A94"/>
    <w:rsid w:val="00AD1C05"/>
    <w:rsid w:val="00AD4126"/>
    <w:rsid w:val="00AD421C"/>
    <w:rsid w:val="00AD44FA"/>
    <w:rsid w:val="00AD4AF2"/>
    <w:rsid w:val="00AE070A"/>
    <w:rsid w:val="00AE101C"/>
    <w:rsid w:val="00AE213C"/>
    <w:rsid w:val="00AE267B"/>
    <w:rsid w:val="00AE2A69"/>
    <w:rsid w:val="00AE37E5"/>
    <w:rsid w:val="00AE3D66"/>
    <w:rsid w:val="00AE5EB4"/>
    <w:rsid w:val="00AF0C18"/>
    <w:rsid w:val="00AF47C5"/>
    <w:rsid w:val="00AF5398"/>
    <w:rsid w:val="00B049AF"/>
    <w:rsid w:val="00B06449"/>
    <w:rsid w:val="00B07242"/>
    <w:rsid w:val="00B10534"/>
    <w:rsid w:val="00B10F3E"/>
    <w:rsid w:val="00B113DB"/>
    <w:rsid w:val="00B11D8A"/>
    <w:rsid w:val="00B12981"/>
    <w:rsid w:val="00B147DD"/>
    <w:rsid w:val="00B156FD"/>
    <w:rsid w:val="00B1609A"/>
    <w:rsid w:val="00B21F61"/>
    <w:rsid w:val="00B24919"/>
    <w:rsid w:val="00B261F1"/>
    <w:rsid w:val="00B265BC"/>
    <w:rsid w:val="00B273A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435"/>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22B"/>
    <w:rsid w:val="00B96D40"/>
    <w:rsid w:val="00B97386"/>
    <w:rsid w:val="00BA0D3C"/>
    <w:rsid w:val="00BA263B"/>
    <w:rsid w:val="00BA42B2"/>
    <w:rsid w:val="00BA58D4"/>
    <w:rsid w:val="00BA5B9E"/>
    <w:rsid w:val="00BA7C9A"/>
    <w:rsid w:val="00BB33F6"/>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4AD"/>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C04"/>
    <w:rsid w:val="00C33E50"/>
    <w:rsid w:val="00C34C20"/>
    <w:rsid w:val="00C35A3E"/>
    <w:rsid w:val="00C369A6"/>
    <w:rsid w:val="00C42130"/>
    <w:rsid w:val="00C423A4"/>
    <w:rsid w:val="00C423E3"/>
    <w:rsid w:val="00C44BF5"/>
    <w:rsid w:val="00C44E3A"/>
    <w:rsid w:val="00C521D6"/>
    <w:rsid w:val="00C55232"/>
    <w:rsid w:val="00C553A4"/>
    <w:rsid w:val="00C55A06"/>
    <w:rsid w:val="00C55D03"/>
    <w:rsid w:val="00C601BC"/>
    <w:rsid w:val="00C6035F"/>
    <w:rsid w:val="00C61A19"/>
    <w:rsid w:val="00C6329F"/>
    <w:rsid w:val="00C63340"/>
    <w:rsid w:val="00C643F9"/>
    <w:rsid w:val="00C64E95"/>
    <w:rsid w:val="00C65E22"/>
    <w:rsid w:val="00C71372"/>
    <w:rsid w:val="00C72410"/>
    <w:rsid w:val="00C7287F"/>
    <w:rsid w:val="00C80CB8"/>
    <w:rsid w:val="00C819F8"/>
    <w:rsid w:val="00C8248C"/>
    <w:rsid w:val="00C84E33"/>
    <w:rsid w:val="00C86D6F"/>
    <w:rsid w:val="00C905FC"/>
    <w:rsid w:val="00C92D03"/>
    <w:rsid w:val="00C9319C"/>
    <w:rsid w:val="00C9435D"/>
    <w:rsid w:val="00C94788"/>
    <w:rsid w:val="00C94DF2"/>
    <w:rsid w:val="00C96741"/>
    <w:rsid w:val="00CA2D1B"/>
    <w:rsid w:val="00CA375D"/>
    <w:rsid w:val="00CA37A4"/>
    <w:rsid w:val="00CA662A"/>
    <w:rsid w:val="00CA7AFD"/>
    <w:rsid w:val="00CA7C3C"/>
    <w:rsid w:val="00CB0189"/>
    <w:rsid w:val="00CB0BA2"/>
    <w:rsid w:val="00CB1A42"/>
    <w:rsid w:val="00CB1B0C"/>
    <w:rsid w:val="00CB1D09"/>
    <w:rsid w:val="00CB2C0B"/>
    <w:rsid w:val="00CB39E1"/>
    <w:rsid w:val="00CB517D"/>
    <w:rsid w:val="00CC038D"/>
    <w:rsid w:val="00CC08DB"/>
    <w:rsid w:val="00CC39FF"/>
    <w:rsid w:val="00CC3C2F"/>
    <w:rsid w:val="00CC4AC8"/>
    <w:rsid w:val="00CC5233"/>
    <w:rsid w:val="00CC5DE6"/>
    <w:rsid w:val="00CC6E4E"/>
    <w:rsid w:val="00CC6FE8"/>
    <w:rsid w:val="00CC7202"/>
    <w:rsid w:val="00CD0953"/>
    <w:rsid w:val="00CD2026"/>
    <w:rsid w:val="00CD2808"/>
    <w:rsid w:val="00CD28BF"/>
    <w:rsid w:val="00CD4092"/>
    <w:rsid w:val="00CD4A20"/>
    <w:rsid w:val="00CD50A1"/>
    <w:rsid w:val="00CD519E"/>
    <w:rsid w:val="00CE0C4F"/>
    <w:rsid w:val="00CE30EA"/>
    <w:rsid w:val="00CF048A"/>
    <w:rsid w:val="00CF05AE"/>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512"/>
    <w:rsid w:val="00D20534"/>
    <w:rsid w:val="00D20737"/>
    <w:rsid w:val="00D21E81"/>
    <w:rsid w:val="00D223DE"/>
    <w:rsid w:val="00D22825"/>
    <w:rsid w:val="00D25E37"/>
    <w:rsid w:val="00D2661A"/>
    <w:rsid w:val="00D27582"/>
    <w:rsid w:val="00D27EC4"/>
    <w:rsid w:val="00D32719"/>
    <w:rsid w:val="00D32964"/>
    <w:rsid w:val="00D33333"/>
    <w:rsid w:val="00D34D62"/>
    <w:rsid w:val="00D352A2"/>
    <w:rsid w:val="00D40D61"/>
    <w:rsid w:val="00D4162B"/>
    <w:rsid w:val="00D4514F"/>
    <w:rsid w:val="00D451E2"/>
    <w:rsid w:val="00D45E89"/>
    <w:rsid w:val="00D45E8D"/>
    <w:rsid w:val="00D466AE"/>
    <w:rsid w:val="00D4734F"/>
    <w:rsid w:val="00D51BF3"/>
    <w:rsid w:val="00D54082"/>
    <w:rsid w:val="00D60D22"/>
    <w:rsid w:val="00D6611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AA8"/>
    <w:rsid w:val="00DA64F8"/>
    <w:rsid w:val="00DA6C15"/>
    <w:rsid w:val="00DB0258"/>
    <w:rsid w:val="00DB38EE"/>
    <w:rsid w:val="00DB498B"/>
    <w:rsid w:val="00DB6501"/>
    <w:rsid w:val="00DB66CA"/>
    <w:rsid w:val="00DB6BCA"/>
    <w:rsid w:val="00DB6F54"/>
    <w:rsid w:val="00DB73F7"/>
    <w:rsid w:val="00DC0321"/>
    <w:rsid w:val="00DC16F4"/>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6C5"/>
    <w:rsid w:val="00DF7C7D"/>
    <w:rsid w:val="00E002AD"/>
    <w:rsid w:val="00E01138"/>
    <w:rsid w:val="00E02DFB"/>
    <w:rsid w:val="00E030F9"/>
    <w:rsid w:val="00E0311A"/>
    <w:rsid w:val="00E03138"/>
    <w:rsid w:val="00E06404"/>
    <w:rsid w:val="00E11A85"/>
    <w:rsid w:val="00E12495"/>
    <w:rsid w:val="00E1303F"/>
    <w:rsid w:val="00E15CCD"/>
    <w:rsid w:val="00E202EF"/>
    <w:rsid w:val="00E210B5"/>
    <w:rsid w:val="00E2552F"/>
    <w:rsid w:val="00E3137A"/>
    <w:rsid w:val="00E32CCF"/>
    <w:rsid w:val="00E32D8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7E"/>
    <w:rsid w:val="00E85BFF"/>
    <w:rsid w:val="00E90391"/>
    <w:rsid w:val="00E906C2"/>
    <w:rsid w:val="00E9311F"/>
    <w:rsid w:val="00E934D1"/>
    <w:rsid w:val="00E94AF0"/>
    <w:rsid w:val="00E95D13"/>
    <w:rsid w:val="00E95DD3"/>
    <w:rsid w:val="00E969D5"/>
    <w:rsid w:val="00E97CF6"/>
    <w:rsid w:val="00EA58D1"/>
    <w:rsid w:val="00EA61BC"/>
    <w:rsid w:val="00EA681A"/>
    <w:rsid w:val="00EA735B"/>
    <w:rsid w:val="00EB1E69"/>
    <w:rsid w:val="00EB2086"/>
    <w:rsid w:val="00EB31ED"/>
    <w:rsid w:val="00EB5EDF"/>
    <w:rsid w:val="00EB60FE"/>
    <w:rsid w:val="00EB74DB"/>
    <w:rsid w:val="00EC0BB2"/>
    <w:rsid w:val="00EC5359"/>
    <w:rsid w:val="00EC562A"/>
    <w:rsid w:val="00ED067A"/>
    <w:rsid w:val="00ED13D2"/>
    <w:rsid w:val="00ED1B70"/>
    <w:rsid w:val="00ED2B50"/>
    <w:rsid w:val="00EE0350"/>
    <w:rsid w:val="00EE0719"/>
    <w:rsid w:val="00EE0E80"/>
    <w:rsid w:val="00EE3819"/>
    <w:rsid w:val="00EE48C2"/>
    <w:rsid w:val="00EE613F"/>
    <w:rsid w:val="00EE7295"/>
    <w:rsid w:val="00EE7869"/>
    <w:rsid w:val="00EF054A"/>
    <w:rsid w:val="00EF3235"/>
    <w:rsid w:val="00EF7E72"/>
    <w:rsid w:val="00F06D37"/>
    <w:rsid w:val="00F07B9D"/>
    <w:rsid w:val="00F11586"/>
    <w:rsid w:val="00F1183B"/>
    <w:rsid w:val="00F11C9F"/>
    <w:rsid w:val="00F12149"/>
    <w:rsid w:val="00F12263"/>
    <w:rsid w:val="00F1409D"/>
    <w:rsid w:val="00F14214"/>
    <w:rsid w:val="00F14F94"/>
    <w:rsid w:val="00F157A9"/>
    <w:rsid w:val="00F16F00"/>
    <w:rsid w:val="00F25BB6"/>
    <w:rsid w:val="00F266E1"/>
    <w:rsid w:val="00F26B7E"/>
    <w:rsid w:val="00F27A3B"/>
    <w:rsid w:val="00F32780"/>
    <w:rsid w:val="00F33817"/>
    <w:rsid w:val="00F420D5"/>
    <w:rsid w:val="00F423D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D78"/>
    <w:rsid w:val="00F82357"/>
    <w:rsid w:val="00F833BA"/>
    <w:rsid w:val="00F84309"/>
    <w:rsid w:val="00F84FD0"/>
    <w:rsid w:val="00F855B8"/>
    <w:rsid w:val="00F859A8"/>
    <w:rsid w:val="00F86D87"/>
    <w:rsid w:val="00F87C36"/>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661"/>
    <w:rsid w:val="00FD00E6"/>
    <w:rsid w:val="00FD09A1"/>
    <w:rsid w:val="00FD2A7C"/>
    <w:rsid w:val="00FD59EB"/>
    <w:rsid w:val="00FD5FBA"/>
    <w:rsid w:val="00FD7299"/>
    <w:rsid w:val="00FE149A"/>
    <w:rsid w:val="00FE1ABD"/>
    <w:rsid w:val="00FE1FBE"/>
    <w:rsid w:val="00FE3901"/>
    <w:rsid w:val="00FE39D3"/>
    <w:rsid w:val="00FE4BCE"/>
    <w:rsid w:val="00FE54AE"/>
    <w:rsid w:val="00FE576A"/>
    <w:rsid w:val="00FE7E79"/>
    <w:rsid w:val="00FF359C"/>
    <w:rsid w:val="00FF3E7D"/>
    <w:rsid w:val="00FF5B99"/>
    <w:rsid w:val="00FF730C"/>
    <w:rsid w:val="00FF73F4"/>
    <w:rsid w:val="00FF7CE4"/>
    <w:rsid w:val="00FF7E39"/>
    <w:rsid w:val="05573D16"/>
    <w:rsid w:val="06D5137F"/>
    <w:rsid w:val="076D777A"/>
    <w:rsid w:val="0F41445B"/>
    <w:rsid w:val="100E49A1"/>
    <w:rsid w:val="12D22C2E"/>
    <w:rsid w:val="141522FC"/>
    <w:rsid w:val="16BD2EA4"/>
    <w:rsid w:val="1A255E9D"/>
    <w:rsid w:val="1E3705C7"/>
    <w:rsid w:val="21E508F4"/>
    <w:rsid w:val="28E07281"/>
    <w:rsid w:val="2CF63C91"/>
    <w:rsid w:val="37A83178"/>
    <w:rsid w:val="414C3A28"/>
    <w:rsid w:val="4A4A2B10"/>
    <w:rsid w:val="4FA022B5"/>
    <w:rsid w:val="50322706"/>
    <w:rsid w:val="5A294959"/>
    <w:rsid w:val="5C2076A0"/>
    <w:rsid w:val="75E52965"/>
    <w:rsid w:val="78572EA9"/>
    <w:rsid w:val="7A923260"/>
    <w:rsid w:val="7EF101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ind w:left="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ind w:left="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ind w:left="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 w:type="character" w:customStyle="1" w:styleId="231">
    <w:name w:val="Unresolved Mention"/>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GIF"/><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32534;&#20889;\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EA712D8F4DD49BEAF1FC37512CBE721"/>
        <w:style w:val=""/>
        <w:category>
          <w:name w:val="常规"/>
          <w:gallery w:val="placeholder"/>
        </w:category>
        <w:types>
          <w:type w:val="bbPlcHdr"/>
        </w:types>
        <w:behaviors>
          <w:behavior w:val="content"/>
        </w:behaviors>
        <w:description w:val=""/>
        <w:guid w:val="{813BDA84-2817-4B65-B67D-23F09B6AB156}"/>
      </w:docPartPr>
      <w:docPartBody>
        <w:p w14:paraId="312406CC">
          <w:pPr>
            <w:pStyle w:val="5"/>
          </w:pPr>
          <w:r>
            <w:rPr>
              <w:rStyle w:val="4"/>
              <w:rFonts w:hint="eastAsia"/>
            </w:rPr>
            <w:t>单击或点击此处输入文字。</w:t>
          </w:r>
        </w:p>
      </w:docPartBody>
    </w:docPart>
    <w:docPart>
      <w:docPartPr>
        <w:name w:val="A51013DF8B5541C6BC12DF11FE89421A"/>
        <w:style w:val=""/>
        <w:category>
          <w:name w:val="常规"/>
          <w:gallery w:val="placeholder"/>
        </w:category>
        <w:types>
          <w:type w:val="bbPlcHdr"/>
        </w:types>
        <w:behaviors>
          <w:behavior w:val="content"/>
        </w:behaviors>
        <w:description w:val=""/>
        <w:guid w:val="{14A60BF6-25F2-444C-BB02-68EF19BC9D55}"/>
      </w:docPartPr>
      <w:docPartBody>
        <w:p w14:paraId="6F5480A3">
          <w:pPr>
            <w:pStyle w:val="6"/>
          </w:pPr>
          <w:r>
            <w:rPr>
              <w:rStyle w:val="4"/>
              <w:rFonts w:hint="eastAsia"/>
            </w:rPr>
            <w:t>选择一项。</w:t>
          </w:r>
        </w:p>
      </w:docPartBody>
    </w:docPart>
    <w:docPart>
      <w:docPartPr>
        <w:name w:val="9AF852F29C8E48A7A6962F85A79F1438"/>
        <w:style w:val=""/>
        <w:category>
          <w:name w:val="常规"/>
          <w:gallery w:val="placeholder"/>
        </w:category>
        <w:types>
          <w:type w:val="bbPlcHdr"/>
        </w:types>
        <w:behaviors>
          <w:behavior w:val="content"/>
        </w:behaviors>
        <w:description w:val=""/>
        <w:guid w:val="{5CDCAD83-CAA3-40E5-908C-2ACD00F2D302}"/>
      </w:docPartPr>
      <w:docPartBody>
        <w:p w14:paraId="5B1534FC">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38BC"/>
    <w:rsid w:val="000228C7"/>
    <w:rsid w:val="000F28E3"/>
    <w:rsid w:val="000F3587"/>
    <w:rsid w:val="000F38BC"/>
    <w:rsid w:val="001B3CF1"/>
    <w:rsid w:val="001C5BA4"/>
    <w:rsid w:val="002A1503"/>
    <w:rsid w:val="002A7F1E"/>
    <w:rsid w:val="00487C9E"/>
    <w:rsid w:val="005129F0"/>
    <w:rsid w:val="005360A7"/>
    <w:rsid w:val="00594766"/>
    <w:rsid w:val="005F64E7"/>
    <w:rsid w:val="00680C79"/>
    <w:rsid w:val="0079586A"/>
    <w:rsid w:val="007B06E8"/>
    <w:rsid w:val="00866E52"/>
    <w:rsid w:val="008B58A8"/>
    <w:rsid w:val="00935135"/>
    <w:rsid w:val="009A3F4D"/>
    <w:rsid w:val="00AE213C"/>
    <w:rsid w:val="00B6238E"/>
    <w:rsid w:val="00BA71B8"/>
    <w:rsid w:val="00C66082"/>
    <w:rsid w:val="00CD2026"/>
    <w:rsid w:val="00D627FB"/>
    <w:rsid w:val="00D8116E"/>
    <w:rsid w:val="00DA12DE"/>
    <w:rsid w:val="00E80454"/>
    <w:rsid w:val="00EE3819"/>
    <w:rsid w:val="00F212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EA712D8F4DD49BEAF1FC37512CBE72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6">
    <w:name w:val="A51013DF8B5541C6BC12DF11FE89421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 w:type="paragraph" w:customStyle="1" w:styleId="7">
    <w:name w:val="9AF852F29C8E48A7A6962F85A79F143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C5E8E-1AD9-4283-AB28-389D02E2F30B}">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12</Pages>
  <Words>3091</Words>
  <Characters>3652</Characters>
  <Lines>50</Lines>
  <Paragraphs>14</Paragraphs>
  <TotalTime>12</TotalTime>
  <ScaleCrop>false</ScaleCrop>
  <LinksUpToDate>false</LinksUpToDate>
  <CharactersWithSpaces>3782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2025-07-26T10:04:00Z</dcterms:created>
  <dc:creator>Lenovo</dc:creator>
  <dc:description>&lt;config cover="true" show_menu="true" version="1.0.0" doctype="SDKXY"&gt;_x000d_
&lt;/config&gt;</dc:description>
  <cp:lastModifiedBy>west</cp:lastModifiedBy>
  <cp:lastPrinted>2021-02-02T08:22:00Z</cp:lastPrinted>
  <dcterms:modified xsi:type="dcterms:W3CDTF">2025-09-02T03:56:51Z</dcterms:modified>
  <dc:title>团体标准</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eyJoZGlkIjoiOTRkNjRhYzg5MmUzZTI4NGJlZGUyMWQyZGMxMzY1NWYiLCJ1c2VySWQiOiIyNTcxNzMzMDcifQ==</vt:lpwstr>
  </property>
  <property fmtid="{D5CDD505-2E9C-101B-9397-08002B2CF9AE}" pid="15" name="KSOProductBuildVer">
    <vt:lpwstr>2052-12.1.0.22529</vt:lpwstr>
  </property>
  <property fmtid="{D5CDD505-2E9C-101B-9397-08002B2CF9AE}" pid="16" name="ICV">
    <vt:lpwstr>BFBFC067DFC448528B0F9C5BC8ED3DE4_12</vt:lpwstr>
  </property>
</Properties>
</file>